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E53" w:rsidP="00462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AMPREN302 Operate and monitor a continuous dry rendering process</w:t>
      </w:r>
      <w:r>
        <w:fldChar w:fldCharType="end"/>
      </w:r>
    </w:p>
    <w:p w:rsidR="00462E53" w:rsidP="00462E53">
      <w:pPr>
        <w:pStyle w:val="Version"/>
        <w:sectPr w:rsidSect="00E45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3ED" w:rsidP="00E453ED">
      <w:pPr>
        <w:pStyle w:val="SuperHeading"/>
      </w:pPr>
      <w:r w:rsidRPr="00E453ED">
        <w:t>Assessment Requirements for AMPREN302 Operate and monitor a continuous dry rendering process</w:t>
      </w:r>
    </w:p>
    <w:p w:rsidR="00000000" w:rsidRPr="00E453ED" w:rsidP="00E453ED">
      <w:pPr>
        <w:pStyle w:val="Heading1"/>
      </w:pPr>
      <w:bookmarkStart w:id="1" w:name="O_1202527"/>
      <w:bookmarkEnd w:id="1"/>
      <w:r w:rsidRPr="00E453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5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ED">
            <w:pPr>
              <w:pStyle w:val="BodyTextBold"/>
              <w:rPr>
                <w:lang w:val="en-NZ"/>
              </w:rPr>
            </w:pPr>
            <w:r w:rsidRPr="00E453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ED">
            <w:pPr>
              <w:pStyle w:val="BodyTextBold"/>
              <w:rPr>
                <w:lang w:val="en-NZ"/>
              </w:rPr>
            </w:pPr>
            <w:r w:rsidRPr="00E453ED">
              <w:t>Comments</w:t>
            </w:r>
          </w:p>
        </w:tc>
      </w:tr>
      <w:tr w:rsidTr="00E453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ED">
            <w:pPr>
              <w:pStyle w:val="BodyText"/>
              <w:rPr>
                <w:lang w:val="en-NZ"/>
              </w:rPr>
            </w:pPr>
            <w:r w:rsidRPr="00E453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3ED" w:rsidP="00E453ED">
            <w:pPr>
              <w:pStyle w:val="BodyText"/>
            </w:pPr>
            <w:r w:rsidRPr="00E453ED">
              <w:t>This version released with AMP Australian Meat Processing Training Package Version 7.0.</w:t>
            </w:r>
          </w:p>
        </w:tc>
      </w:tr>
    </w:tbl>
    <w:p w:rsidR="00000000" w:rsidRPr="00E453ED" w:rsidP="00E453ED">
      <w:pPr>
        <w:pStyle w:val="BodyText"/>
      </w:pPr>
    </w:p>
    <w:p w:rsidR="00000000" w:rsidRPr="00E453ED" w:rsidP="00E453ED">
      <w:pPr>
        <w:pStyle w:val="AllowPageBreak"/>
      </w:pPr>
    </w:p>
    <w:p w:rsidR="00000000" w:rsidRPr="00E453ED" w:rsidP="00E453ED">
      <w:pPr>
        <w:pStyle w:val="Heading1"/>
      </w:pPr>
      <w:bookmarkStart w:id="2" w:name="O_1202528"/>
      <w:bookmarkEnd w:id="2"/>
      <w:r w:rsidRPr="00E453ED">
        <w:t>Performance Evidence</w:t>
      </w:r>
    </w:p>
    <w:p w:rsidR="00000000" w:rsidRPr="00E453ED" w:rsidP="00462E53">
      <w:pPr>
        <w:pStyle w:val="BodyText"/>
      </w:pPr>
      <w:r w:rsidRPr="00E453ED">
        <w:t xml:space="preserve">An individual demonstrating competency must satisfy all of the elements and performance criteria in this unit. </w:t>
      </w:r>
    </w:p>
    <w:p w:rsidR="00000000" w:rsidRPr="00E453ED" w:rsidP="00462E53">
      <w:pPr>
        <w:pStyle w:val="BodyText"/>
      </w:pPr>
      <w:r w:rsidRPr="00E453ED">
        <w:t xml:space="preserve">There must be evidence that the individual has operated and monitored a continuous dry rendering process </w:t>
      </w:r>
      <w:r w:rsidRPr="00E453ED">
        <w:t>on two separate occasions and has:</w:t>
      </w:r>
    </w:p>
    <w:p w:rsidR="00000000" w:rsidRPr="00E453ED" w:rsidP="00E453ED">
      <w:pPr>
        <w:pStyle w:val="ListBullet"/>
      </w:pPr>
      <w:r w:rsidRPr="00E453ED">
        <w:t>identified at least three food safety hazards and controlled risk using Hazard Analysis and Critical Control Point (HACCP) principles</w:t>
      </w:r>
    </w:p>
    <w:p w:rsidR="00000000" w:rsidRPr="00E453ED" w:rsidP="00E453ED">
      <w:pPr>
        <w:pStyle w:val="ListBullet"/>
      </w:pPr>
      <w:r w:rsidRPr="00E453ED">
        <w:t>identified at least</w:t>
      </w:r>
      <w:r w:rsidRPr="00E453ED">
        <w:t xml:space="preserve"> three safety hazards, assessed and controlled risk using workplace health and safety procedures</w:t>
      </w:r>
    </w:p>
    <w:p w:rsidR="00000000" w:rsidRPr="00E453ED" w:rsidP="00E453ED">
      <w:pPr>
        <w:pStyle w:val="ListBullet"/>
      </w:pPr>
      <w:r w:rsidRPr="00E453ED">
        <w:t>selected and correctly fitted appropriate personal protective equipment (PPE) required for worker safety and contamination control</w:t>
      </w:r>
    </w:p>
    <w:p w:rsidR="00000000" w:rsidRPr="00E453ED" w:rsidP="00E453ED">
      <w:pPr>
        <w:pStyle w:val="ListBullet"/>
      </w:pPr>
      <w:r w:rsidRPr="00E453ED">
        <w:t>checked raw materials, inclu</w:t>
      </w:r>
      <w:r w:rsidRPr="00E453ED">
        <w:t>ding correct labels, temperature, condensate, particle size and colour</w:t>
      </w:r>
    </w:p>
    <w:p w:rsidR="00000000" w:rsidRPr="00E453ED" w:rsidP="00E453ED">
      <w:pPr>
        <w:pStyle w:val="ListBullet"/>
      </w:pPr>
      <w:r w:rsidRPr="00E453ED">
        <w:t>loaded and unloaded cooker according to workplace procedures</w:t>
      </w:r>
    </w:p>
    <w:p w:rsidR="00000000" w:rsidRPr="00E453ED" w:rsidP="00E453ED">
      <w:pPr>
        <w:pStyle w:val="ListBullet"/>
      </w:pPr>
      <w:r w:rsidRPr="00E453ED">
        <w:t>operated cooker and monitored temperature and made adjustments according to product specifications</w:t>
      </w:r>
    </w:p>
    <w:p w:rsidR="00000000" w:rsidRPr="00E453ED" w:rsidP="00E453ED">
      <w:pPr>
        <w:pStyle w:val="ListBullet"/>
      </w:pPr>
      <w:r w:rsidRPr="00E453ED">
        <w:t>tested product samples to</w:t>
      </w:r>
      <w:r w:rsidRPr="00E453ED">
        <w:t xml:space="preserve"> ensure materials are rendered to specifications</w:t>
      </w:r>
    </w:p>
    <w:p w:rsidR="00000000" w:rsidRPr="00E453ED" w:rsidP="00E453ED">
      <w:pPr>
        <w:pStyle w:val="ListBullet"/>
      </w:pPr>
      <w:r w:rsidRPr="00E453ED">
        <w:t>monitored cooker including:</w:t>
      </w:r>
    </w:p>
    <w:p w:rsidR="00000000" w:rsidRPr="00E453ED" w:rsidP="00E453ED">
      <w:pPr>
        <w:pStyle w:val="ListBullet2"/>
      </w:pPr>
      <w:r w:rsidRPr="00E453ED">
        <w:t>settings of variable speed drive screws</w:t>
      </w:r>
    </w:p>
    <w:p w:rsidR="00000000" w:rsidRPr="00E453ED" w:rsidP="00E453ED">
      <w:pPr>
        <w:pStyle w:val="ListBullet2"/>
      </w:pPr>
      <w:r w:rsidRPr="00E453ED">
        <w:t xml:space="preserve">slow increase of temperature </w:t>
      </w:r>
    </w:p>
    <w:p w:rsidR="00000000" w:rsidRPr="00E453ED" w:rsidP="00E453ED">
      <w:pPr>
        <w:pStyle w:val="ListBullet2"/>
      </w:pPr>
      <w:r w:rsidRPr="00E453ED">
        <w:t>cooker shaft amps</w:t>
      </w:r>
    </w:p>
    <w:p w:rsidR="00000000" w:rsidRPr="00E453ED" w:rsidP="00E453ED">
      <w:pPr>
        <w:pStyle w:val="ListBullet2"/>
      </w:pPr>
      <w:r w:rsidRPr="00E453ED">
        <w:t>sight glass levels</w:t>
      </w:r>
    </w:p>
    <w:p w:rsidR="00000000" w:rsidRPr="00E453ED" w:rsidP="00E453ED">
      <w:pPr>
        <w:pStyle w:val="ListBullet2"/>
      </w:pPr>
      <w:r w:rsidRPr="00E453ED">
        <w:t>surges in raw material feed</w:t>
      </w:r>
    </w:p>
    <w:p w:rsidR="00000000" w:rsidRPr="00E453ED" w:rsidP="00E453ED">
      <w:pPr>
        <w:pStyle w:val="ListBullet"/>
      </w:pPr>
      <w:r w:rsidRPr="00E453ED">
        <w:t>monitored environmental emissions accordin</w:t>
      </w:r>
      <w:r w:rsidRPr="00E453ED">
        <w:t>g to workplace and Environmental Protection Agency (EPA) requirements, including odour control and one of the following:</w:t>
      </w:r>
    </w:p>
    <w:p w:rsidR="00000000" w:rsidRPr="00E453ED" w:rsidP="00E453ED">
      <w:pPr>
        <w:pStyle w:val="ListBullet2"/>
      </w:pPr>
      <w:r w:rsidRPr="00E453ED">
        <w:t>waste water</w:t>
      </w:r>
    </w:p>
    <w:p w:rsidR="00000000" w:rsidRPr="00E453ED" w:rsidP="00E453ED">
      <w:pPr>
        <w:pStyle w:val="ListBullet2"/>
      </w:pPr>
      <w:r w:rsidRPr="00E453ED">
        <w:t>heat recovery</w:t>
      </w:r>
    </w:p>
    <w:p w:rsidR="00000000" w:rsidRPr="00E453ED" w:rsidP="00E453ED">
      <w:pPr>
        <w:pStyle w:val="ListBullet2"/>
      </w:pPr>
      <w:r w:rsidRPr="00E453ED">
        <w:t>noise</w:t>
      </w:r>
    </w:p>
    <w:p w:rsidR="00000000" w:rsidRPr="00E453ED" w:rsidP="00E453ED">
      <w:pPr>
        <w:pStyle w:val="ListBullet"/>
      </w:pPr>
      <w:r w:rsidRPr="00E453ED">
        <w:t>completed production records according to workplace requirements.</w:t>
      </w:r>
    </w:p>
    <w:p w:rsidR="00000000" w:rsidRPr="00E453ED" w:rsidP="00E453ED">
      <w:pPr>
        <w:pStyle w:val="AllowPageBreak"/>
      </w:pPr>
    </w:p>
    <w:p w:rsidR="00000000" w:rsidRPr="00E453ED" w:rsidP="00E453ED">
      <w:pPr>
        <w:pStyle w:val="Heading1"/>
      </w:pPr>
      <w:bookmarkStart w:id="3" w:name="O_1202529"/>
      <w:bookmarkEnd w:id="3"/>
      <w:r w:rsidRPr="00E453ED">
        <w:t>Knowledge Evidence</w:t>
      </w:r>
    </w:p>
    <w:p w:rsidR="00000000" w:rsidRPr="00E453ED" w:rsidP="00462E53">
      <w:pPr>
        <w:pStyle w:val="BodyText"/>
      </w:pPr>
      <w:r w:rsidRPr="00E453ED">
        <w:t>An individual must be able to demonstrate the knowledge required to perform the tasks outlined in the elements and performance criteria of this unit. This includes knowledge of:</w:t>
      </w:r>
    </w:p>
    <w:p w:rsidR="00000000" w:rsidRPr="00E453ED" w:rsidP="00E453ED">
      <w:pPr>
        <w:pStyle w:val="ListBullet"/>
      </w:pPr>
      <w:r w:rsidRPr="00E453ED">
        <w:t>basic operating principles of a continuous dry rendering p</w:t>
      </w:r>
      <w:r w:rsidRPr="00E453ED">
        <w:t>rocess</w:t>
      </w:r>
    </w:p>
    <w:p w:rsidR="00000000" w:rsidRPr="00E453ED" w:rsidP="00E453ED">
      <w:pPr>
        <w:pStyle w:val="ListBullet"/>
      </w:pPr>
      <w:r w:rsidRPr="00E453ED">
        <w:t>key features of HACCP principles related to continuous dry rendering processes</w:t>
      </w:r>
    </w:p>
    <w:p w:rsidR="00000000" w:rsidRPr="00E453ED" w:rsidP="00E453ED">
      <w:pPr>
        <w:pStyle w:val="ListBullet"/>
      </w:pPr>
      <w:r w:rsidRPr="00E453ED">
        <w:t>workplace health and safety requirements of continuous dry rendering process</w:t>
      </w:r>
    </w:p>
    <w:p w:rsidR="00000000" w:rsidRPr="00E453ED" w:rsidP="00E453ED">
      <w:pPr>
        <w:pStyle w:val="ListBullet"/>
      </w:pPr>
      <w:r w:rsidRPr="00E453ED">
        <w:t>features, benefits, limitations, and correct fit of PPE for continuous dry rendering processe</w:t>
      </w:r>
      <w:r w:rsidRPr="00E453ED">
        <w:t>s</w:t>
      </w:r>
    </w:p>
    <w:p w:rsidR="00000000" w:rsidRPr="00E453ED" w:rsidP="00E453ED">
      <w:pPr>
        <w:pStyle w:val="ListBullet"/>
      </w:pPr>
      <w:r w:rsidRPr="00E453ED">
        <w:t>key features of quality assurance aspects of rendered product, including:</w:t>
      </w:r>
      <w:r w:rsidRPr="00E453ED">
        <w:rPr>
          <w:rStyle w:val="SpecialBold"/>
        </w:rPr>
        <w:t xml:space="preserve"> </w:t>
      </w:r>
    </w:p>
    <w:p w:rsidR="00000000" w:rsidRPr="00E453ED" w:rsidP="00E453ED">
      <w:pPr>
        <w:pStyle w:val="ListBullet2"/>
      </w:pPr>
      <w:r w:rsidRPr="00E453ED">
        <w:t>colour and density of rendered products</w:t>
      </w:r>
    </w:p>
    <w:p w:rsidR="00000000" w:rsidRPr="00E453ED" w:rsidP="00E453ED">
      <w:pPr>
        <w:pStyle w:val="ListBullet2"/>
      </w:pPr>
      <w:r w:rsidRPr="00E453ED">
        <w:t>end-point temperature</w:t>
      </w:r>
    </w:p>
    <w:p w:rsidR="00000000" w:rsidRPr="00E453ED" w:rsidP="00E453ED">
      <w:pPr>
        <w:pStyle w:val="ListBullet2"/>
      </w:pPr>
      <w:r w:rsidRPr="00E453ED">
        <w:t>correct level of moisture content</w:t>
      </w:r>
    </w:p>
    <w:p w:rsidR="00000000" w:rsidRPr="00E453ED" w:rsidP="00E453ED">
      <w:pPr>
        <w:pStyle w:val="ListBullet"/>
      </w:pPr>
      <w:r w:rsidRPr="00E453ED">
        <w:t>quality requirements of finished products including:</w:t>
      </w:r>
    </w:p>
    <w:p w:rsidR="00000000" w:rsidRPr="00E453ED" w:rsidP="00E453ED">
      <w:pPr>
        <w:pStyle w:val="ListBullet2"/>
      </w:pPr>
      <w:r w:rsidRPr="00E453ED">
        <w:t>tallow moisture, insolubles and Free Fatty Acids (FFA)</w:t>
      </w:r>
    </w:p>
    <w:p w:rsidR="00000000" w:rsidRPr="00E453ED" w:rsidP="00E453ED">
      <w:pPr>
        <w:pStyle w:val="ListBullet2"/>
      </w:pPr>
      <w:r w:rsidRPr="00E453ED">
        <w:t>meat meal moisture, fat content, protein, microbiological and physical contamination</w:t>
      </w:r>
    </w:p>
    <w:p w:rsidR="00000000" w:rsidRPr="00E453ED" w:rsidP="00E453ED">
      <w:pPr>
        <w:pStyle w:val="ListBullet2"/>
      </w:pPr>
      <w:r w:rsidRPr="00E453ED">
        <w:t>implications on product quality and productivity of incorrect load in cooker</w:t>
      </w:r>
    </w:p>
    <w:p w:rsidR="00000000" w:rsidRPr="00E453ED" w:rsidP="00E453ED">
      <w:pPr>
        <w:pStyle w:val="ListBullet"/>
      </w:pPr>
      <w:r w:rsidRPr="00E453ED">
        <w:t>effects of incorrect start up, includi</w:t>
      </w:r>
      <w:r w:rsidRPr="00E453ED">
        <w:t>ng:</w:t>
      </w:r>
    </w:p>
    <w:p w:rsidR="00000000" w:rsidRPr="00E453ED" w:rsidP="00E453ED">
      <w:pPr>
        <w:pStyle w:val="ListBullet2"/>
      </w:pPr>
      <w:r w:rsidRPr="00E453ED">
        <w:t>over shot end point temperature</w:t>
      </w:r>
    </w:p>
    <w:p w:rsidR="00000000" w:rsidRPr="00E453ED" w:rsidP="00E453ED">
      <w:pPr>
        <w:pStyle w:val="ListBullet2"/>
      </w:pPr>
      <w:r w:rsidRPr="00E453ED">
        <w:t>foaming</w:t>
      </w:r>
    </w:p>
    <w:p w:rsidR="00000000" w:rsidRPr="00E453ED" w:rsidP="00E453ED">
      <w:pPr>
        <w:pStyle w:val="ListBullet"/>
      </w:pPr>
      <w:r w:rsidRPr="00E453ED">
        <w:t xml:space="preserve">AS5008 Hygienic Rendering of Animal Products </w:t>
      </w:r>
    </w:p>
    <w:p w:rsidR="00000000" w:rsidRPr="00E453ED" w:rsidP="00E453ED">
      <w:pPr>
        <w:pStyle w:val="ListBullet"/>
      </w:pPr>
      <w:r w:rsidRPr="00E453ED">
        <w:t>Australian Renderers Association</w:t>
      </w:r>
      <w:r>
        <w:t>’</w:t>
      </w:r>
      <w:r w:rsidRPr="00E453ED">
        <w:t>s Code of Practice for Hygienic Rendering of Animal Products</w:t>
      </w:r>
    </w:p>
    <w:p w:rsidR="00000000" w:rsidRPr="00E453ED" w:rsidP="00E453ED">
      <w:pPr>
        <w:pStyle w:val="ListBullet"/>
      </w:pPr>
      <w:r w:rsidRPr="00E453ED">
        <w:t>state and territory EPA requirements for control of non-condensable ga</w:t>
      </w:r>
      <w:r w:rsidRPr="00E453ED">
        <w:t>ses</w:t>
      </w:r>
    </w:p>
    <w:p w:rsidR="00000000" w:rsidRPr="00E453ED" w:rsidP="00E453ED">
      <w:pPr>
        <w:pStyle w:val="ListBullet"/>
      </w:pPr>
      <w:r w:rsidRPr="00E453ED">
        <w:t>implications on product quality and productivity of incorrect load in cooker</w:t>
      </w:r>
    </w:p>
    <w:p w:rsidR="00000000" w:rsidRPr="00E453ED" w:rsidP="00E453ED">
      <w:pPr>
        <w:pStyle w:val="ListBullet"/>
      </w:pPr>
      <w:r w:rsidRPr="00E453ED">
        <w:t>production problems and out-of-specification product and take corrective action</w:t>
      </w:r>
    </w:p>
    <w:p w:rsidR="00000000" w:rsidRPr="00E453ED" w:rsidP="00E453ED">
      <w:pPr>
        <w:pStyle w:val="ListBullet"/>
      </w:pPr>
      <w:r w:rsidRPr="00E453ED">
        <w:t>features and functions of continuous dry rendering machinery and equipment, including:</w:t>
      </w:r>
    </w:p>
    <w:p w:rsidR="00000000" w:rsidRPr="00E453ED" w:rsidP="00E453ED">
      <w:pPr>
        <w:pStyle w:val="ListBullet2"/>
      </w:pPr>
      <w:r w:rsidRPr="00E453ED">
        <w:t xml:space="preserve">manufacturer and workplace instructions for safe operation </w:t>
      </w:r>
    </w:p>
    <w:p w:rsidR="00000000" w:rsidRPr="00E453ED" w:rsidP="00E453ED">
      <w:pPr>
        <w:pStyle w:val="ListBullet2"/>
      </w:pPr>
      <w:r w:rsidRPr="00E453ED">
        <w:t>control panels and ancillary controls</w:t>
      </w:r>
    </w:p>
    <w:p w:rsidR="00000000" w:rsidRPr="00E453ED" w:rsidP="00E453ED">
      <w:pPr>
        <w:pStyle w:val="ListBullet2"/>
      </w:pPr>
      <w:r w:rsidRPr="00E453ED">
        <w:t>operating capacities, efficiencies and applications</w:t>
      </w:r>
    </w:p>
    <w:p w:rsidR="00000000" w:rsidRPr="00E453ED" w:rsidP="00E453ED">
      <w:pPr>
        <w:pStyle w:val="ListBullet2"/>
      </w:pPr>
      <w:r w:rsidRPr="00E453ED">
        <w:t>location and purpose of guards, rails and sensors</w:t>
      </w:r>
    </w:p>
    <w:p w:rsidR="00000000" w:rsidRPr="00E453ED" w:rsidP="00E453ED">
      <w:pPr>
        <w:pStyle w:val="ListBullet2"/>
      </w:pPr>
      <w:r w:rsidRPr="00E453ED">
        <w:t>feedback instrumentation</w:t>
      </w:r>
    </w:p>
    <w:p w:rsidR="00000000" w:rsidRPr="00E453ED" w:rsidP="00E453ED">
      <w:pPr>
        <w:pStyle w:val="ListBullet2"/>
      </w:pPr>
      <w:r w:rsidRPr="00E453ED">
        <w:t>services required, including co</w:t>
      </w:r>
      <w:r w:rsidRPr="00E453ED">
        <w:t>mpressed air, electricity and water</w:t>
      </w:r>
    </w:p>
    <w:p w:rsidR="00000000" w:rsidRPr="00E453ED" w:rsidP="00E453ED">
      <w:pPr>
        <w:pStyle w:val="ListBullet"/>
      </w:pPr>
      <w:r w:rsidRPr="00E453ED">
        <w:t>workplace cleaning and maintenance requirements for continuous dry rendering machinery and equipment.</w:t>
      </w:r>
    </w:p>
    <w:p w:rsidR="00000000" w:rsidRPr="00E453ED" w:rsidP="00E453ED">
      <w:pPr>
        <w:pStyle w:val="AllowPageBreak"/>
      </w:pPr>
    </w:p>
    <w:p w:rsidR="00000000" w:rsidRPr="00E453ED" w:rsidP="00E453ED">
      <w:pPr>
        <w:pStyle w:val="Heading1"/>
      </w:pPr>
      <w:bookmarkStart w:id="4" w:name="O_1202530"/>
      <w:bookmarkEnd w:id="4"/>
      <w:r w:rsidRPr="00E453ED">
        <w:t>Assessment Conditions</w:t>
      </w:r>
    </w:p>
    <w:p w:rsidR="00000000" w:rsidRPr="00E453ED" w:rsidP="00462E53">
      <w:pPr>
        <w:pStyle w:val="BodyText"/>
      </w:pPr>
      <w:r w:rsidRPr="00E453ED">
        <w:t>Assessment of the skills in this unit of competency must take place under th</w:t>
      </w:r>
      <w:r w:rsidRPr="00E453ED">
        <w:t xml:space="preserve">e following conditions: </w:t>
      </w:r>
    </w:p>
    <w:p w:rsidR="00000000" w:rsidRPr="00E453ED" w:rsidP="00E453ED">
      <w:pPr>
        <w:pStyle w:val="ListBullet"/>
      </w:pPr>
      <w:r w:rsidRPr="00E453ED">
        <w:t>physical conditions:</w:t>
      </w:r>
    </w:p>
    <w:p w:rsidR="00000000" w:rsidRPr="00E453ED" w:rsidP="00E453ED">
      <w:pPr>
        <w:pStyle w:val="ListBullet2"/>
      </w:pPr>
      <w:r w:rsidRPr="00E453ED">
        <w:t>skills must be demonstrated in a meat rendering plant or an environment that accurately represents workplace conditions</w:t>
      </w:r>
    </w:p>
    <w:p w:rsidR="00000000" w:rsidRPr="00E453ED" w:rsidP="00E453ED">
      <w:pPr>
        <w:pStyle w:val="ListBullet"/>
      </w:pPr>
      <w:r w:rsidRPr="00E453ED">
        <w:t>resources, equipment and materials:</w:t>
      </w:r>
    </w:p>
    <w:p w:rsidR="00000000" w:rsidRPr="00E453ED" w:rsidP="00E453ED">
      <w:pPr>
        <w:pStyle w:val="ListBullet2"/>
      </w:pPr>
      <w:r w:rsidRPr="00E453ED">
        <w:t>industrial meat rendering machinery and equipment required for the tasks specified in the performance evidence</w:t>
      </w:r>
    </w:p>
    <w:p w:rsidR="00000000" w:rsidRPr="00E453ED" w:rsidP="00E453ED">
      <w:pPr>
        <w:pStyle w:val="ListBullet2"/>
      </w:pPr>
      <w:r w:rsidRPr="00E453ED">
        <w:t>raw materials specified in the performance evidence</w:t>
      </w:r>
    </w:p>
    <w:p w:rsidR="00000000" w:rsidRPr="00E453ED" w:rsidP="00E453ED">
      <w:pPr>
        <w:pStyle w:val="ListBullet2"/>
      </w:pPr>
      <w:r w:rsidRPr="00E453ED">
        <w:t>PPE and contamination control equipment clothing required for the tasks specified in the perf</w:t>
      </w:r>
      <w:r w:rsidRPr="00E453ED">
        <w:t>ormance evidence</w:t>
      </w:r>
    </w:p>
    <w:p w:rsidR="00000000" w:rsidRPr="00E453ED" w:rsidP="00E453ED">
      <w:pPr>
        <w:pStyle w:val="ListBullet2"/>
      </w:pPr>
      <w:r w:rsidRPr="00E453ED">
        <w:t>reporting and recording formats</w:t>
      </w:r>
    </w:p>
    <w:p w:rsidR="00000000" w:rsidRPr="00E453ED" w:rsidP="00E453ED">
      <w:pPr>
        <w:pStyle w:val="ListBullet"/>
      </w:pPr>
      <w:r w:rsidRPr="00E453ED">
        <w:t>specifications:</w:t>
      </w:r>
    </w:p>
    <w:p w:rsidR="00000000" w:rsidRPr="00E453ED" w:rsidP="00E453ED">
      <w:pPr>
        <w:pStyle w:val="ListBullet2"/>
      </w:pPr>
      <w:r w:rsidRPr="00E453ED">
        <w:t>two dry rendering work orders stipulated in the performance evidence</w:t>
      </w:r>
    </w:p>
    <w:p w:rsidR="00000000" w:rsidRPr="00E453ED" w:rsidP="00E453ED">
      <w:pPr>
        <w:pStyle w:val="ListBullet2"/>
      </w:pPr>
      <w:r w:rsidRPr="00E453ED">
        <w:t>workplace procedures for a continuous dry rendering process and operation of machinery and equipment stipulated in the p</w:t>
      </w:r>
      <w:r w:rsidRPr="00E453ED">
        <w:t>erformance evidence</w:t>
      </w:r>
    </w:p>
    <w:p w:rsidR="00000000" w:rsidRPr="00E453ED" w:rsidP="00E453ED">
      <w:pPr>
        <w:pStyle w:val="ListBullet2"/>
      </w:pPr>
      <w:r w:rsidRPr="00E453ED">
        <w:t>workplace procedures for worker safety and contamination control</w:t>
      </w:r>
    </w:p>
    <w:p w:rsidR="00000000" w:rsidRPr="00E453ED" w:rsidP="00E453ED">
      <w:pPr>
        <w:pStyle w:val="ListBullet"/>
      </w:pPr>
      <w:r w:rsidRPr="00E453ED">
        <w:t xml:space="preserve">relationships: </w:t>
      </w:r>
    </w:p>
    <w:p w:rsidR="00000000" w:rsidRPr="00E453ED" w:rsidP="00E453ED">
      <w:pPr>
        <w:pStyle w:val="ListBullet2"/>
      </w:pPr>
      <w:r w:rsidRPr="00E453ED">
        <w:t>supervisor and others stipulated in the performance evidence</w:t>
      </w:r>
    </w:p>
    <w:p w:rsidR="00000000" w:rsidRPr="00E453ED" w:rsidP="00E453ED">
      <w:pPr>
        <w:pStyle w:val="ListBullet"/>
      </w:pPr>
      <w:r w:rsidRPr="00E453ED">
        <w:t>timeframes:</w:t>
      </w:r>
    </w:p>
    <w:p w:rsidR="00000000" w:rsidRPr="00E453ED" w:rsidP="00E453ED">
      <w:pPr>
        <w:pStyle w:val="ListBullet2"/>
      </w:pPr>
      <w:r w:rsidRPr="00E453ED">
        <w:t>competency must be demonstrated at the normal rate of production for the rendering plant.</w:t>
      </w:r>
    </w:p>
    <w:p w:rsidR="00000000" w:rsidRPr="00E453ED" w:rsidP="00462E53">
      <w:pPr>
        <w:pStyle w:val="BodyText"/>
      </w:pPr>
      <w:r w:rsidRPr="00E453ED">
        <w:t>Assessors of this unit must satisfy the requirements for assessors in applicable vocational education and training legislation, frameworks and/or standards.</w:t>
      </w:r>
    </w:p>
    <w:p w:rsidR="00000000" w:rsidRPr="00E453ED" w:rsidP="00E453ED">
      <w:pPr>
        <w:pStyle w:val="Heading1"/>
      </w:pPr>
      <w:bookmarkStart w:id="5" w:name="O_1202533"/>
      <w:bookmarkEnd w:id="5"/>
      <w:r w:rsidRPr="00E453ED">
        <w:t>Links</w:t>
      </w:r>
    </w:p>
    <w:p w:rsidR="00000000" w:rsidRPr="00E453ED" w:rsidP="00462E53">
      <w:pPr>
        <w:pStyle w:val="BodyText"/>
      </w:pPr>
      <w:r w:rsidRPr="00E453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14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53ED" w:rsidP="00E453ED"/>
    <w:sectPr w:rsidSect="00E453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ED" w:rsidRPr="00462E53" w:rsidP="00462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53" w:rsidP="00E45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E53" w:rsidP="00E45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2E53" w:rsidP="00E45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3ED" w:rsidRPr="00462E53" w:rsidP="00462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53" w:rsidRPr="002D2AF8" w:rsidP="00E45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AMPREN302 Operate and monitor a continuous dry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62E53" w:rsidP="00E45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6EF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76E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06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3ED"/>
  </w:style>
  <w:style w:type="character" w:customStyle="1" w:styleId="Heading1Char">
    <w:name w:val="Heading 1 Char"/>
    <w:basedOn w:val="DefaultParagraphFont"/>
    <w:link w:val="Heading1"/>
    <w:rsid w:val="00E45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3ED"/>
    <w:rPr>
      <w:b/>
      <w:spacing w:val="0"/>
    </w:rPr>
  </w:style>
  <w:style w:type="paragraph" w:styleId="ListBullet2">
    <w:name w:val="List Bullet 2"/>
    <w:basedOn w:val="List2"/>
    <w:rsid w:val="00E453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5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53ED"/>
    <w:rPr>
      <w:b/>
    </w:rPr>
  </w:style>
  <w:style w:type="character" w:customStyle="1" w:styleId="Heading2Char">
    <w:name w:val="Heading 2 Char"/>
    <w:basedOn w:val="DefaultParagraphFont"/>
    <w:link w:val="Heading2"/>
    <w:rsid w:val="00E45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3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3ED"/>
    <w:rPr>
      <w:i/>
    </w:rPr>
  </w:style>
  <w:style w:type="paragraph" w:styleId="Caption">
    <w:name w:val="caption"/>
    <w:basedOn w:val="BodyText"/>
    <w:next w:val="Normal"/>
    <w:qFormat/>
    <w:rsid w:val="00E45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3ED"/>
  </w:style>
  <w:style w:type="paragraph" w:styleId="TableofFigures">
    <w:name w:val="table of figures"/>
    <w:basedOn w:val="Normal"/>
    <w:next w:val="Normal"/>
    <w:semiHidden/>
    <w:rsid w:val="00E45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3ED"/>
    <w:rPr>
      <w:rFonts w:ascii="Wingdings" w:hAnsi="Wingdings"/>
    </w:rPr>
  </w:style>
  <w:style w:type="paragraph" w:customStyle="1" w:styleId="TableHeading">
    <w:name w:val="Table Heading"/>
    <w:basedOn w:val="HeadingBase"/>
    <w:rsid w:val="00E45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3ED"/>
    <w:rPr>
      <w:color w:val="0033CC"/>
      <w:u w:val="none"/>
    </w:rPr>
  </w:style>
  <w:style w:type="paragraph" w:customStyle="1" w:styleId="BodyTextRight">
    <w:name w:val="Body Text Right"/>
    <w:basedOn w:val="BodyText"/>
    <w:rsid w:val="00E45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3ED"/>
    <w:rPr>
      <w:sz w:val="32"/>
    </w:rPr>
  </w:style>
  <w:style w:type="paragraph" w:customStyle="1" w:styleId="HeadingProcedure">
    <w:name w:val="Heading Procedure"/>
    <w:basedOn w:val="HeadingBase"/>
    <w:next w:val="Normal"/>
    <w:rsid w:val="00E45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3ED"/>
    <w:pPr>
      <w:spacing w:before="60" w:after="60"/>
    </w:pPr>
  </w:style>
  <w:style w:type="paragraph" w:styleId="ListContinue">
    <w:name w:val="List Continue"/>
    <w:basedOn w:val="List"/>
    <w:rsid w:val="00E453ED"/>
    <w:pPr>
      <w:ind w:firstLine="0"/>
    </w:pPr>
  </w:style>
  <w:style w:type="paragraph" w:customStyle="1" w:styleId="ListNote">
    <w:name w:val="List Note"/>
    <w:basedOn w:val="List"/>
    <w:rsid w:val="00E45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3ED"/>
    <w:rPr>
      <w:rFonts w:ascii="Courier New" w:hAnsi="Courier New"/>
    </w:rPr>
  </w:style>
  <w:style w:type="paragraph" w:customStyle="1" w:styleId="NoteBullet">
    <w:name w:val="Note Bullet"/>
    <w:basedOn w:val="Note"/>
    <w:rsid w:val="00E45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3ED"/>
    <w:rPr>
      <w:b/>
      <w:smallCaps/>
    </w:rPr>
  </w:style>
  <w:style w:type="paragraph" w:customStyle="1" w:styleId="TableListNumber">
    <w:name w:val="Table List Number"/>
    <w:basedOn w:val="ListNumber"/>
    <w:rsid w:val="00E45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3ED"/>
    <w:pPr>
      <w:numPr>
        <w:numId w:val="9"/>
      </w:numPr>
    </w:pPr>
  </w:style>
  <w:style w:type="paragraph" w:customStyle="1" w:styleId="ListAlpha2">
    <w:name w:val="List Alpha 2"/>
    <w:basedOn w:val="List2"/>
    <w:rsid w:val="00E453ED"/>
    <w:pPr>
      <w:numPr>
        <w:numId w:val="8"/>
      </w:numPr>
    </w:pPr>
  </w:style>
  <w:style w:type="paragraph" w:styleId="List2">
    <w:name w:val="List 2"/>
    <w:basedOn w:val="BodyText"/>
    <w:rsid w:val="00E45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3ED"/>
    <w:pPr>
      <w:numPr>
        <w:numId w:val="4"/>
      </w:numPr>
    </w:pPr>
  </w:style>
  <w:style w:type="paragraph" w:styleId="ListContinue2">
    <w:name w:val="List Continue 2"/>
    <w:basedOn w:val="List2"/>
    <w:rsid w:val="00E453ED"/>
    <w:pPr>
      <w:ind w:firstLine="0"/>
    </w:pPr>
  </w:style>
  <w:style w:type="paragraph" w:styleId="ListContinue3">
    <w:name w:val="List Continue 3"/>
    <w:basedOn w:val="List3"/>
    <w:rsid w:val="00E453ED"/>
    <w:pPr>
      <w:ind w:left="1021" w:firstLine="0"/>
    </w:pPr>
  </w:style>
  <w:style w:type="paragraph" w:styleId="ListContinue4">
    <w:name w:val="List Continue 4"/>
    <w:basedOn w:val="List4"/>
    <w:rsid w:val="00E453ED"/>
    <w:pPr>
      <w:ind w:firstLine="0"/>
    </w:pPr>
  </w:style>
  <w:style w:type="paragraph" w:styleId="ListContinue5">
    <w:name w:val="List Continue 5"/>
    <w:basedOn w:val="List5"/>
    <w:rsid w:val="00E453ED"/>
    <w:pPr>
      <w:ind w:firstLine="0"/>
    </w:pPr>
  </w:style>
  <w:style w:type="paragraph" w:styleId="ListNumber3">
    <w:name w:val="List Number 3"/>
    <w:basedOn w:val="List3"/>
    <w:rsid w:val="00E453ED"/>
    <w:pPr>
      <w:numPr>
        <w:numId w:val="5"/>
      </w:numPr>
    </w:pPr>
  </w:style>
  <w:style w:type="paragraph" w:styleId="ListNumber4">
    <w:name w:val="List Number 4"/>
    <w:basedOn w:val="List4"/>
    <w:rsid w:val="00E453ED"/>
    <w:pPr>
      <w:numPr>
        <w:numId w:val="6"/>
      </w:numPr>
    </w:pPr>
  </w:style>
  <w:style w:type="paragraph" w:styleId="ListNumber5">
    <w:name w:val="List Number 5"/>
    <w:basedOn w:val="List5"/>
    <w:rsid w:val="00E453ED"/>
    <w:pPr>
      <w:numPr>
        <w:numId w:val="7"/>
      </w:numPr>
    </w:pPr>
  </w:style>
  <w:style w:type="paragraph" w:styleId="BlockText">
    <w:name w:val="Block Text"/>
    <w:basedOn w:val="Normal"/>
    <w:rsid w:val="00E45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3ED"/>
    <w:rPr>
      <w:sz w:val="16"/>
      <w:vertAlign w:val="superscript"/>
    </w:rPr>
  </w:style>
  <w:style w:type="character" w:customStyle="1" w:styleId="Symbols">
    <w:name w:val="Symbols"/>
    <w:basedOn w:val="DefaultParagraphFont"/>
    <w:rsid w:val="00E453ED"/>
    <w:rPr>
      <w:rFonts w:ascii="Symbol" w:hAnsi="Symbol"/>
    </w:rPr>
  </w:style>
  <w:style w:type="character" w:customStyle="1" w:styleId="MenuOptions">
    <w:name w:val="Menu Options"/>
    <w:basedOn w:val="DefaultParagraphFont"/>
    <w:rsid w:val="00E45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3ED"/>
    <w:rPr>
      <w:b/>
    </w:rPr>
  </w:style>
  <w:style w:type="character" w:customStyle="1" w:styleId="Underlined">
    <w:name w:val="Underlined"/>
    <w:basedOn w:val="DefaultParagraphFont"/>
    <w:rsid w:val="00E453ED"/>
    <w:rPr>
      <w:u w:val="single"/>
    </w:rPr>
  </w:style>
  <w:style w:type="paragraph" w:customStyle="1" w:styleId="TableBodyTextRight">
    <w:name w:val="Table Body Text Right"/>
    <w:basedOn w:val="TableBodyText"/>
    <w:rsid w:val="00E45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3ED"/>
    <w:rPr>
      <w:sz w:val="18"/>
    </w:rPr>
  </w:style>
  <w:style w:type="paragraph" w:customStyle="1" w:styleId="BodySmallRight">
    <w:name w:val="Body Small Right"/>
    <w:basedOn w:val="BodyTextRight"/>
    <w:rsid w:val="00E453ED"/>
    <w:rPr>
      <w:sz w:val="18"/>
      <w:szCs w:val="18"/>
    </w:rPr>
  </w:style>
  <w:style w:type="paragraph" w:customStyle="1" w:styleId="MarginEdition">
    <w:name w:val="Margin Edition"/>
    <w:basedOn w:val="MarginNote"/>
    <w:rsid w:val="00E45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3ED"/>
    <w:rPr>
      <w:sz w:val="2"/>
      <w:szCs w:val="2"/>
    </w:rPr>
  </w:style>
  <w:style w:type="character" w:customStyle="1" w:styleId="Small">
    <w:name w:val="Small"/>
    <w:basedOn w:val="DefaultParagraphFont"/>
    <w:rsid w:val="00E453ED"/>
    <w:rPr>
      <w:sz w:val="16"/>
    </w:rPr>
  </w:style>
  <w:style w:type="paragraph" w:customStyle="1" w:styleId="WideTable">
    <w:name w:val="Wide Table"/>
    <w:basedOn w:val="Normal"/>
    <w:rsid w:val="00E45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3ED"/>
  </w:style>
  <w:style w:type="paragraph" w:styleId="Quote">
    <w:name w:val="Quote"/>
    <w:basedOn w:val="Heading1"/>
    <w:link w:val="QuoteChar"/>
    <w:qFormat/>
    <w:rsid w:val="00E45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3ED"/>
    <w:pPr>
      <w:pageBreakBefore/>
    </w:pPr>
  </w:style>
  <w:style w:type="paragraph" w:customStyle="1" w:styleId="Border">
    <w:name w:val="Border"/>
    <w:basedOn w:val="Normal"/>
    <w:qFormat/>
    <w:rsid w:val="00E45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3ED"/>
    <w:rPr>
      <w:u w:val="single"/>
    </w:rPr>
  </w:style>
  <w:style w:type="character" w:customStyle="1" w:styleId="BoldandItalics">
    <w:name w:val="Bold and Italics"/>
    <w:qFormat/>
    <w:rsid w:val="00E453ED"/>
    <w:rPr>
      <w:b/>
      <w:i/>
      <w:u w:val="none"/>
    </w:rPr>
  </w:style>
  <w:style w:type="paragraph" w:styleId="BalloonText">
    <w:name w:val="Balloon Text"/>
    <w:basedOn w:val="Normal"/>
    <w:link w:val="BalloonTextChar"/>
    <w:rsid w:val="00E45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3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2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4537</Characters>
  <Application>Microsoft Office Word</Application>
  <DocSecurity>0</DocSecurity>
  <Lines>113</Lines>
  <Paragraphs>91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AMPREN302 Operate and monitor a continuous dry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