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4.0 -->
  <w:body>
    <w:p w:rsidR="00113C48" w:rsidRPr="00113C48" w:rsidP="00FA4076" w14:paraId="2979BD29" w14:textId="082047C8">
      <w:pPr>
        <w:pStyle w:val="Title-TOCExcluded"/>
        <w:spacing w:before="5200" w:after="120"/>
        <w:sectPr w:rsidSect="00F31508">
          <w:headerReference w:type="default" r:id="rId5"/>
          <w:footerReference w:type="default" r:id="rId6"/>
          <w:pgSz w:w="11906" w:h="16838"/>
          <w:pgMar w:top="1701" w:right="1418" w:bottom="1701" w:left="1418" w:header="709" w:footer="709" w:gutter="0"/>
          <w:cols w:space="708"/>
          <w:docGrid w:linePitch="360"/>
        </w:sectPr>
      </w:pPr>
      <w:bookmarkStart w:id="0" w:name="_Toc184217249"/>
      <w:bookmarkStart w:id="1" w:name="_Toc184220964"/>
      <w:r w:rsidRPr="00262572">
        <w:t>AMPREN204 Operate meat size reduction equipment</w:t>
      </w:r>
      <w:bookmarkEnd w:id="0"/>
      <w:bookmarkEnd w:id="1"/>
    </w:p>
    <w:p w:rsidR="00D44002" w:rsidRPr="00F31CE3" w:rsidP="00F31CE3" w14:paraId="160C8F32" w14:textId="3B105B63">
      <w:pPr>
        <w:pStyle w:val="ChapterTitle"/>
      </w:pPr>
      <w:bookmarkStart w:id="2" w:name="AMPREN204"/>
      <w:r w:rsidRPr="00F31CE3">
        <w:t>AMPREN204 Operate meat size reduction equipment</w:t>
      </w:r>
    </w:p>
    <w:p w:rsidR="00D44002" w:rsidRPr="00F31CE3" w:rsidP="00F31CE3">
      <w:pPr>
        <w:pStyle w:val="Heading1"/>
      </w:pPr>
      <w:bookmarkEnd w:id="2"/>
      <w:r w:rsidRPr="00F31CE3">
        <w:t>Modification History</w:t>
      </w:r>
    </w:p>
    <w:tbl>
      <w:tblPr>
        <w:tblStyle w:val="TableGrid"/>
        <w:tblW w:w="5000" w:type="pct"/>
        <w:jc w:val="left"/>
      </w:tblPr>
      <w:tblGrid>
        <w:gridCol w:w="1599"/>
        <w:gridCol w:w="7461"/>
      </w:tblGrid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Release</w:t>
            </w:r>
          </w:p>
        </w:tc>
        <w:tc>
          <w:tcPr>
            <w:tcW w:w="7470" w:type="dxa"/>
          </w:tcPr>
          <w:p w:rsidR="00D44002" w:rsidRPr="00F31CE3" w:rsidP="00F31CE3">
            <w:r w:rsidRPr="00F31CE3">
              <w:t>Comments</w:t>
            </w:r>
          </w:p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2</w:t>
            </w:r>
          </w:p>
        </w:tc>
        <w:tc>
          <w:tcPr>
            <w:tcW w:w="7470" w:type="dxa"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This version was released in AMP Australian Meat Processing Training Package Release 9.2. Updated to show Mandatory workplace requirements in </w:t>
            </w:r>
            <w:r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italic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text.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1</w:t>
            </w:r>
          </w:p>
        </w:tc>
        <w:tc>
          <w:tcPr>
            <w:tcW w:w="7470" w:type="dxa"/>
          </w:tcPr>
          <w:p w:rsidR="00D44002" w:rsidRPr="00F31CE3" w:rsidP="00F31CE3"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unit of competency was first released in AMP Australian Meat Processing Training Package Release 9.0.</w:t>
            </w:r>
          </w:p>
        </w:tc>
      </w:tr>
    </w:tbl>
    <w:p w:rsidR="00D44002" w:rsidRPr="00F31CE3" w:rsidP="00F31CE3">
      <w:pPr>
        <w:pStyle w:val="Heading1"/>
      </w:pPr>
      <w:r w:rsidRPr="00F31CE3">
        <w:t>Application</w:t>
      </w:r>
    </w:p>
    <w:p w:rsidR="00D44002" w:rsidRPr="00F31CE3" w:rsidP="00F31CE3">
      <w:r w:rsidRPr="00F31CE3">
        <w:t>This unit of competency describes the skills and knowledge required to operate meat size reduction equipment prior to rendering operations to have a consistent particle size.</w:t>
      </w:r>
    </w:p>
    <w:p w:rsidR="00D44002" w:rsidRPr="00F31CE3" w:rsidP="00F31CE3">
      <w:r w:rsidRPr="00F31CE3">
        <w:t>This unit applies to individuals who work under general supervision in rendering plants, and who operate meat size reduction equipment.</w:t>
      </w:r>
    </w:p>
    <w:p w:rsidR="00D44002" w:rsidRPr="00F31CE3" w:rsidP="00F31CE3">
      <w:r w:rsidRPr="00F31CE3">
        <w:t>All work must be carried out to comply with workplace procedures, according to state/territory health and safety and food safety regulations, legislation and standards that apply to the workplace.</w:t>
      </w:r>
    </w:p>
    <w:p w:rsidR="00D44002" w:rsidRPr="00F31CE3" w:rsidP="00F31CE3">
      <w:r w:rsidRPr="00F31CE3">
        <w:t>Mandatory workplace requirements apply to the assessment of this unit.</w:t>
      </w:r>
    </w:p>
    <w:p w:rsidR="00D44002" w:rsidRPr="00F31CE3" w:rsidP="00F31CE3">
      <w:pPr>
        <w:pStyle w:val="Heading1"/>
      </w:pPr>
      <w:r w:rsidRPr="00F31CE3">
        <w:t>Licensing/Regulatory Information</w:t>
      </w:r>
    </w:p>
    <w:p w:rsidR="00D44002" w:rsidRPr="00F31CE3" w:rsidP="00F31CE3">
      <w:r w:rsidRPr="00F31CE3">
        <w:t>No licensing, legislative or certification requirements apply to this unit at the time of publication.</w:t>
      </w:r>
    </w:p>
    <w:p w:rsidR="00D44002" w:rsidRPr="00F31CE3" w:rsidP="00F31CE3">
      <w:pPr>
        <w:pStyle w:val="Heading1"/>
      </w:pPr>
      <w:r w:rsidRPr="00F31CE3">
        <w:t>Pre-requisite unit(s)</w:t>
      </w:r>
    </w:p>
    <w:p w:rsidR="00D44002" w:rsidRPr="00F31CE3" w:rsidP="00F31CE3">
      <w:r w:rsidRPr="00F31CE3">
        <w:t>Nil</w:t>
      </w:r>
    </w:p>
    <w:p w:rsidR="00D44002" w:rsidRPr="00F31CE3" w:rsidP="00F31CE3">
      <w:pPr>
        <w:pStyle w:val="Heading1"/>
      </w:pPr>
      <w:r w:rsidRPr="00F31CE3">
        <w:t>Competency field(s)</w:t>
      </w:r>
    </w:p>
    <w:p w:rsidR="00D44002" w:rsidRPr="00F31CE3" w:rsidP="00F31CE3">
      <w:r w:rsidRPr="00F31CE3">
        <w:t>N/A</w:t>
      </w:r>
    </w:p>
    <w:p w:rsidR="00D44002" w:rsidRPr="00F31CE3" w:rsidP="00F31CE3">
      <w:pPr>
        <w:pStyle w:val="Heading1"/>
      </w:pPr>
      <w:r w:rsidRPr="00F31CE3">
        <w:t>Unit sector(s)</w:t>
      </w:r>
    </w:p>
    <w:p w:rsidR="00D44002" w:rsidRPr="00F31CE3" w:rsidP="00F31CE3">
      <w:r w:rsidRPr="00F31CE3">
        <w:t>Rendering (REN)</w:t>
      </w:r>
    </w:p>
    <w:p w:rsidR="00D44002" w:rsidRPr="00F31CE3" w:rsidP="00F31CE3">
      <w:pPr>
        <w:pStyle w:val="Heading1"/>
      </w:pPr>
      <w:r w:rsidRPr="00F31CE3">
        <w:t>Elements and Performance Criteria</w:t>
      </w:r>
    </w:p>
    <w:tbl>
      <w:tblPr>
        <w:tblStyle w:val="TableGrid"/>
        <w:tblW w:w="5000" w:type="pct"/>
        <w:jc w:val="left"/>
      </w:tblPr>
      <w:tblGrid>
        <w:gridCol w:w="2833"/>
        <w:gridCol w:w="6227"/>
      </w:tblGrid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rPr>
                <w:rStyle w:val="Strong"/>
              </w:rPr>
              <w:t>Elements</w:t>
            </w:r>
          </w:p>
        </w:tc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rPr>
                <w:rStyle w:val="Strong"/>
              </w:rPr>
              <w:t>Performance Criteria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Elements describe the essential outcomes.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Performance criteria describe the performance needed to demonstrate achievement of the element.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1. Prepare for work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1.1 Identify job requirements, raw materials and product specifications with supervisor</w:t>
            </w:r>
          </w:p>
          <w:p w:rsidR="00D44002" w:rsidRPr="00F31CE3" w:rsidP="00F31CE3">
            <w:r w:rsidRPr="00F31CE3">
              <w:t>1.2 Identify workplace health and safety requirements for task, including personal protective equipment</w:t>
            </w:r>
          </w:p>
          <w:p w:rsidR="00D44002" w:rsidRPr="00F31CE3" w:rsidP="00F31CE3">
            <w:r w:rsidRPr="00F31CE3">
              <w:t>1.3 Identify product contaminants and how risks are controlled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2. Deliver raw material to feeder bins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2.1 Prepare meat for sizing by placing it in feeder bins following workplace and production requirements</w:t>
            </w:r>
          </w:p>
          <w:p w:rsidR="00D44002" w:rsidRPr="00F31CE3" w:rsidP="00F31CE3">
            <w:r w:rsidRPr="00F31CE3">
              <w:t>2.2 Remove any contamination promptly following workplace quality requirements</w:t>
            </w:r>
          </w:p>
          <w:p w:rsidR="00D44002" w:rsidRPr="00F31CE3" w:rsidP="00F31CE3">
            <w:r w:rsidRPr="00F31CE3">
              <w:t>2.3 Maintain work areas to meet productivity, quality and safety according to workplace procedures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3. Operate meat size reduction equipment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3.1 Carry out preoperational checks of plant and equipment to check it is in working order</w:t>
            </w:r>
          </w:p>
          <w:p w:rsidR="00D44002" w:rsidRPr="00F31CE3" w:rsidP="00F31CE3">
            <w:r w:rsidRPr="00F31CE3">
              <w:t>3.2 Identify emergency stops and isolation controls in work area</w:t>
            </w:r>
          </w:p>
          <w:p w:rsidR="00D44002" w:rsidRPr="00F31CE3" w:rsidP="00F31CE3">
            <w:r w:rsidRPr="00F31CE3">
              <w:t>3.3 Maintain flow of raw material to meat size reduction equipment to keep adequate levels in holding or feeder bins</w:t>
            </w:r>
          </w:p>
          <w:p w:rsidR="00D44002" w:rsidRPr="00F31CE3" w:rsidP="00F31CE3">
            <w:r w:rsidRPr="00F31CE3">
              <w:t>3.4 Monitor filling and emptying of raw material receival bins to prevent overfilling and to clear any blockages in drainage</w:t>
            </w:r>
          </w:p>
          <w:p w:rsidR="00D44002" w:rsidRPr="00F31CE3" w:rsidP="00F31CE3">
            <w:r w:rsidRPr="00F31CE3">
              <w:t>3.5 Identify and rectify and/or report problems associated with raw material or processing</w:t>
            </w:r>
          </w:p>
          <w:p w:rsidR="00D44002" w:rsidRPr="00F31CE3" w:rsidP="00F31CE3">
            <w:r w:rsidRPr="00F31CE3">
              <w:t>3.6 Carry out routine maintenance and cleaning according to hygiene and safety requirements</w:t>
            </w:r>
          </w:p>
          <w:p w:rsidR="00D44002" w:rsidRPr="00F31CE3" w:rsidP="00F31CE3">
            <w:r w:rsidRPr="00F31CE3">
              <w:t>3.7 Check meat size reduction equipment for wear and other damage, and report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4. Shut down the meat size reduction equipment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4.1 Shut down meat size reduction equipment safely following workplace procedures</w:t>
            </w:r>
          </w:p>
          <w:p w:rsidR="00D44002" w:rsidRPr="00F31CE3" w:rsidP="00F31CE3">
            <w:r w:rsidRPr="00F31CE3">
              <w:t>4.2 Identify and report faults and maintenance requirements</w:t>
            </w:r>
          </w:p>
          <w:p w:rsidR="00D44002" w:rsidRPr="00F31CE3" w:rsidP="00F31CE3">
            <w:r w:rsidRPr="00F31CE3">
              <w:t>4.3 Maintain workplace records following workplace requirements</w:t>
            </w:r>
          </w:p>
          <w:p w:rsidR="00D44002" w:rsidRPr="00F31CE3" w:rsidP="00F31CE3">
            <w:r w:rsidRPr="00F31CE3">
              <w:t>4.4 Conduct handover of meat size reduction equipment to another team member where required</w:t>
            </w:r>
          </w:p>
        </w:tc>
      </w:tr>
    </w:tbl>
    <w:p w:rsidR="00D44002" w:rsidRPr="00F31CE3" w:rsidP="00F31CE3">
      <w:pPr>
        <w:pStyle w:val="Heading1"/>
      </w:pPr>
      <w:r w:rsidRPr="00F31CE3">
        <w:t>Foundation Skills</w:t>
      </w:r>
    </w:p>
    <w:p w:rsidR="00D44002" w:rsidRPr="00F31CE3" w:rsidP="00F31CE3">
      <w:r w:rsidRPr="00F31CE3">
        <w:rPr>
          <w:i/>
          <w:iCs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Style w:val="TableGrid"/>
        <w:tblW w:w="5000" w:type="pct"/>
        <w:jc w:val="left"/>
      </w:tblPr>
      <w:tblGrid>
        <w:gridCol w:w="2103"/>
        <w:gridCol w:w="6957"/>
      </w:tblGrid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rPr>
                <w:rStyle w:val="Strong"/>
              </w:rPr>
              <w:t>Skill</w:t>
            </w:r>
          </w:p>
        </w:tc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rPr>
                <w:rStyle w:val="Strong"/>
              </w:rPr>
              <w:t>Description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Reading</w:t>
            </w:r>
          </w:p>
        </w:tc>
        <w:tc>
          <w:tcPr>
            <w:tcW w:w="0" w:type="auto"/>
          </w:tcPr>
          <w:p w:rsidR="00D44002" w:rsidRPr="00F31CE3" w:rsidP="00F31CE3">
            <w:pPr>
              <w:numPr>
                <w:ilvl w:val="0"/>
                <w:numId w:val="2"/>
              </w:numPr>
              <w:ind w:left="720" w:hanging="360"/>
              <w:jc w:val="left"/>
            </w:pPr>
            <w:r w:rsidRPr="00F31CE3">
              <w:t>Interpret key information in work instructions and customer specifications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Writing</w:t>
            </w:r>
          </w:p>
        </w:tc>
        <w:tc>
          <w:tcPr>
            <w:tcW w:w="0" w:type="auto"/>
          </w:tcPr>
          <w:p w:rsidR="00D44002" w:rsidRPr="00F31CE3" w:rsidP="00F31CE3">
            <w:pPr>
              <w:numPr>
                <w:ilvl w:val="0"/>
                <w:numId w:val="3"/>
              </w:numPr>
              <w:ind w:left="720" w:hanging="360"/>
              <w:jc w:val="left"/>
            </w:pPr>
            <w:r w:rsidRPr="00F31CE3">
              <w:t>Complete records using industry terminology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Oral communication</w:t>
            </w:r>
          </w:p>
        </w:tc>
        <w:tc>
          <w:tcPr>
            <w:tcW w:w="0" w:type="auto"/>
          </w:tcPr>
          <w:p w:rsidR="00D44002" w:rsidRPr="00F31CE3" w:rsidP="00F31CE3">
            <w:pPr>
              <w:numPr>
                <w:ilvl w:val="0"/>
                <w:numId w:val="4"/>
              </w:numPr>
              <w:ind w:left="720" w:hanging="360"/>
              <w:jc w:val="left"/>
            </w:pPr>
            <w:r w:rsidRPr="00F31CE3">
              <w:t>Report issues to supervisor clearly and promptly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Numeracy</w:t>
            </w:r>
          </w:p>
        </w:tc>
        <w:tc>
          <w:tcPr>
            <w:tcW w:w="0" w:type="auto"/>
          </w:tcPr>
          <w:p w:rsidR="00D44002" w:rsidRPr="00F31CE3" w:rsidP="00F31CE3">
            <w:pPr>
              <w:numPr>
                <w:ilvl w:val="0"/>
                <w:numId w:val="5"/>
              </w:numPr>
              <w:ind w:left="720" w:hanging="360"/>
              <w:jc w:val="left"/>
            </w:pPr>
            <w:r w:rsidRPr="00F31CE3">
              <w:t>Estimate and measure time and volume</w:t>
            </w:r>
          </w:p>
          <w:p w:rsidR="00D44002" w:rsidRPr="00F31CE3" w:rsidP="00F31CE3">
            <w:pPr>
              <w:numPr>
                <w:ilvl w:val="0"/>
                <w:numId w:val="5"/>
              </w:numPr>
              <w:ind w:left="720" w:hanging="360"/>
              <w:jc w:val="left"/>
            </w:pPr>
            <w:r w:rsidRPr="00F31CE3">
              <w:t>Make adjustments to feed-in to ensure steady product flow</w:t>
            </w:r>
          </w:p>
        </w:tc>
      </w:tr>
    </w:tbl>
    <w:p w:rsidR="00D44002" w:rsidRPr="00F31CE3" w:rsidP="00F31CE3">
      <w:pPr>
        <w:pStyle w:val="Heading1"/>
      </w:pPr>
      <w:r w:rsidRPr="00F31CE3">
        <w:t>Range of conditions</w:t>
      </w:r>
    </w:p>
    <w:p w:rsidR="00D44002" w:rsidRPr="00F31CE3" w:rsidP="00F31CE3">
      <w:r w:rsidRPr="00F31CE3">
        <w:t>No conditions apply to this unit of competency at the time of publication.</w:t>
      </w:r>
    </w:p>
    <w:p w:rsidR="00D44002" w:rsidRPr="00F31CE3" w:rsidP="00F31CE3">
      <w:pPr>
        <w:pStyle w:val="Heading1"/>
      </w:pPr>
      <w:r w:rsidRPr="00F31CE3">
        <w:t>Unit Mapping Information</w:t>
      </w:r>
    </w:p>
    <w:tbl>
      <w:tblPr>
        <w:tblStyle w:val="TableGrid"/>
        <w:tblW w:w="5000" w:type="pct"/>
        <w:jc w:val="left"/>
      </w:tblPr>
      <w:tblGrid>
        <w:gridCol w:w="2266"/>
        <w:gridCol w:w="2265"/>
        <w:gridCol w:w="2265"/>
        <w:gridCol w:w="2264"/>
      </w:tblGrid>
      <w:tr>
        <w:tblPrEx>
          <w:tblW w:w="5000" w:type="pct"/>
        </w:tblPrEx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Current Code and Title</w:t>
            </w:r>
          </w:p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Previous Code and Title</w:t>
            </w:r>
          </w:p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Comments</w:t>
            </w:r>
          </w:p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Equivalence</w:t>
            </w:r>
          </w:p>
        </w:tc>
      </w:tr>
      <w:tr>
        <w:tblPrEx>
          <w:tblW w:w="5000" w:type="pct"/>
        </w:tblPrEx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AMPREN204 Operate meat size reduction equipment</w:t>
            </w:r>
          </w:p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AMPA2157 Overview rendering process</w:t>
            </w:r>
          </w:p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Merged with 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AMPABA201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Operate meat size reduction equipment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Unit code and title updated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Unit sector code added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Unit application updated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Performance Criteria revised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Foundation Skills added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Assessment Requirements updated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Mandatory workplace requirements clarified</w:t>
            </w:r>
          </w:p>
          <w:p w:rsidR="00D44002" w:rsidRPr="00F31CE3" w:rsidP="00F31CE3"/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Not equivalent</w:t>
            </w:r>
          </w:p>
        </w:tc>
      </w:tr>
      <w:tr>
        <w:tblPrEx>
          <w:tblW w:w="5000" w:type="pct"/>
        </w:tblPrEx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AMPREN204 Operate meat size reduction equipment</w:t>
            </w:r>
          </w:p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AMPABA201 Operate meat size reduction equipment</w:t>
            </w:r>
          </w:p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Unit merged with 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AMPA2157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Overview rendering process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Unit code updated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Unit sector code revised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Unit application updated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Performance Criteria clarified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Foundation Skills added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Assessment Requirements revised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Mandatory workplace requirements clarified</w:t>
            </w:r>
          </w:p>
          <w:p w:rsidR="00D44002" w:rsidRPr="00F31CE3" w:rsidP="00F31CE3"/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Equivalent</w:t>
            </w:r>
          </w:p>
        </w:tc>
      </w:tr>
    </w:tbl>
    <w:p w:rsidR="00D44002" w:rsidRPr="00F31CE3" w:rsidP="00F31CE3">
      <w:pPr>
        <w:sectPr w:rsidSect="00F31508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701" w:right="1418" w:bottom="1701" w:left="1418" w:header="709" w:footer="709" w:gutter="0"/>
          <w:cols w:space="708"/>
          <w:docGrid w:linePitch="360"/>
        </w:sectPr>
      </w:pPr>
    </w:p>
    <w:p w:rsidR="00D44002" w:rsidRPr="00F31CE3" w:rsidP="00F31CE3" w14:textId="3B105B63">
      <w:pPr>
        <w:pStyle w:val="ChapterTitle"/>
      </w:pPr>
      <w:bookmarkStart w:id="3" w:name="AMPREN204_AR"/>
      <w:r w:rsidRPr="00F31CE3">
        <w:t>Assessment Requirements for AMPREN204 Operate meat size reduction equipment</w:t>
      </w:r>
    </w:p>
    <w:p w:rsidR="00D44002" w:rsidRPr="00F31CE3" w:rsidP="00F31CE3">
      <w:pPr>
        <w:pStyle w:val="Heading1"/>
      </w:pPr>
      <w:bookmarkEnd w:id="3"/>
      <w:r w:rsidRPr="00F31CE3">
        <w:t>Modification History</w:t>
      </w:r>
    </w:p>
    <w:tbl>
      <w:tblPr>
        <w:tblStyle w:val="TableGrid"/>
        <w:tblW w:w="5000" w:type="pct"/>
        <w:jc w:val="left"/>
      </w:tblPr>
      <w:tblGrid>
        <w:gridCol w:w="1599"/>
        <w:gridCol w:w="7461"/>
      </w:tblGrid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Release</w:t>
            </w:r>
          </w:p>
        </w:tc>
        <w:tc>
          <w:tcPr>
            <w:tcW w:w="7470" w:type="dxa"/>
          </w:tcPr>
          <w:p w:rsidR="00D44002" w:rsidRPr="00F31CE3" w:rsidP="00F31CE3">
            <w:r w:rsidRPr="00F31CE3">
              <w:t>Comments</w:t>
            </w:r>
          </w:p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2</w:t>
            </w:r>
          </w:p>
        </w:tc>
        <w:tc>
          <w:tcPr>
            <w:tcW w:w="7470" w:type="dxa"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This version was released in AMP Australian Meat Processing Training Package Release 9.2. Updated to show Mandatory workplace requirements in </w:t>
            </w:r>
            <w:r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italic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text.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1</w:t>
            </w:r>
          </w:p>
        </w:tc>
        <w:tc>
          <w:tcPr>
            <w:tcW w:w="7470" w:type="dxa"/>
          </w:tcPr>
          <w:p w:rsidR="00D44002" w:rsidRPr="00F31CE3" w:rsidP="00F31CE3"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unit of competency was first released in AMP Australian Meat Processing Training Package Release 9.0.</w:t>
            </w:r>
          </w:p>
        </w:tc>
      </w:tr>
    </w:tbl>
    <w:p w:rsidR="00D44002" w:rsidRPr="00F31CE3" w:rsidP="00F31CE3">
      <w:pPr>
        <w:pStyle w:val="Heading1"/>
      </w:pPr>
      <w:r w:rsidRPr="00F31CE3">
        <w:t>Performance Evidence</w:t>
      </w:r>
    </w:p>
    <w:p w:rsidR="00D44002" w:rsidRPr="00F31CE3" w:rsidP="00F31CE3">
      <w:r w:rsidRPr="00F31CE3">
        <w:t>An individual demonstrating competency must satisfy all of the elements and performance criteria in this unit.</w:t>
      </w:r>
    </w:p>
    <w:p w:rsidR="00D44002" w:rsidRPr="00F31CE3" w:rsidP="00F31CE3">
      <w:r w:rsidRPr="00F31CE3">
        <w:t>There must be evidence that the individual has set up, operated, monitored and shut down a meat size reduction process to convert raw materials into sized products, following work requirements, on at least two occasions.</w:t>
      </w:r>
    </w:p>
    <w:p w:rsidR="00D44002" w:rsidRPr="00F31CE3" w:rsidP="00F31CE3">
      <w:r w:rsidRPr="00F31CE3">
        <w:rPr>
          <w:rStyle w:val="Strong"/>
        </w:rPr>
        <w:t>Mandatory workplace requirements</w:t>
      </w:r>
    </w:p>
    <w:p w:rsidR="00D44002" w:rsidRPr="00F31CE3" w:rsidP="00F31CE3">
      <w:r w:rsidRPr="00F31CE3">
        <w:t>All performance evidence specified above must be demonstrated in a meat rendering premises.</w:t>
      </w:r>
    </w:p>
    <w:p w:rsidR="00D44002" w:rsidRPr="00F31CE3" w:rsidP="00F31CE3">
      <w:pPr>
        <w:pStyle w:val="Heading1"/>
      </w:pPr>
      <w:r w:rsidRPr="00F31CE3">
        <w:t>Knowledge Evidence</w:t>
      </w:r>
    </w:p>
    <w:p w:rsidR="00D44002" w:rsidRPr="00F31CE3" w:rsidP="00F31CE3">
      <w:r w:rsidRPr="00F31CE3">
        <w:t>An individual must be able to demonstrate the knowledge required to perform the tasks outlined in the elements and performance criteria of this unit. This includes knowledge of:</w:t>
      </w:r>
    </w:p>
    <w:p w:rsidR="00D44002" w:rsidRPr="00F31CE3" w:rsidP="00F31CE3">
      <w:pPr>
        <w:numPr>
          <w:ilvl w:val="0"/>
          <w:numId w:val="6"/>
        </w:numPr>
        <w:ind w:left="720" w:hanging="360"/>
        <w:jc w:val="left"/>
      </w:pPr>
      <w:r w:rsidRPr="00F31CE3">
        <w:t>workplace requirements for operating meat size reduction equipment</w:t>
      </w:r>
    </w:p>
    <w:p w:rsidR="00D44002" w:rsidRPr="00F31CE3" w:rsidP="00F31CE3">
      <w:pPr>
        <w:numPr>
          <w:ilvl w:val="0"/>
          <w:numId w:val="6"/>
        </w:numPr>
        <w:ind w:left="720" w:hanging="360"/>
        <w:jc w:val="left"/>
      </w:pPr>
      <w:r w:rsidRPr="00F31CE3">
        <w:t>workplace requirements for maintenance and cleaning</w:t>
      </w:r>
    </w:p>
    <w:p w:rsidR="00D44002" w:rsidRPr="00F31CE3" w:rsidP="00F31CE3">
      <w:pPr>
        <w:numPr>
          <w:ilvl w:val="0"/>
          <w:numId w:val="6"/>
        </w:numPr>
        <w:ind w:left="720" w:hanging="360"/>
        <w:jc w:val="left"/>
      </w:pPr>
      <w:r w:rsidRPr="00F31CE3">
        <w:t>purpose and steps related to the meat rendering process</w:t>
      </w:r>
    </w:p>
    <w:p w:rsidR="00D44002" w:rsidRPr="00F31CE3" w:rsidP="00F31CE3">
      <w:pPr>
        <w:numPr>
          <w:ilvl w:val="0"/>
          <w:numId w:val="6"/>
        </w:numPr>
        <w:ind w:left="720" w:hanging="360"/>
        <w:jc w:val="left"/>
      </w:pPr>
      <w:r w:rsidRPr="00F31CE3">
        <w:t>workplace health and safety requirements for operating meat sizing equipment</w:t>
      </w:r>
    </w:p>
    <w:p w:rsidR="00D44002" w:rsidRPr="00F31CE3" w:rsidP="00F31CE3">
      <w:pPr>
        <w:numPr>
          <w:ilvl w:val="0"/>
          <w:numId w:val="6"/>
        </w:numPr>
        <w:ind w:left="720" w:hanging="360"/>
        <w:jc w:val="left"/>
      </w:pPr>
      <w:r w:rsidRPr="00F31CE3">
        <w:t>key features and functions of meat size reduction machinery and equipment, including:</w:t>
      </w:r>
    </w:p>
    <w:p w:rsidR="00D44002" w:rsidRPr="00F31CE3" w:rsidP="00F31CE3">
      <w:pPr>
        <w:numPr>
          <w:ilvl w:val="1"/>
          <w:numId w:val="6"/>
        </w:numPr>
        <w:ind w:left="1440" w:hanging="360"/>
        <w:jc w:val="left"/>
      </w:pPr>
      <w:r w:rsidRPr="00F31CE3">
        <w:t>manufacturer and workplace instructions for safe operation</w:t>
      </w:r>
    </w:p>
    <w:p w:rsidR="00D44002" w:rsidRPr="00F31CE3" w:rsidP="00F31CE3">
      <w:pPr>
        <w:numPr>
          <w:ilvl w:val="1"/>
          <w:numId w:val="6"/>
        </w:numPr>
        <w:ind w:left="1440" w:hanging="360"/>
        <w:jc w:val="left"/>
      </w:pPr>
      <w:r w:rsidRPr="00F31CE3">
        <w:t>control panels and ancillary controls</w:t>
      </w:r>
    </w:p>
    <w:p w:rsidR="00D44002" w:rsidRPr="00F31CE3" w:rsidP="00F31CE3">
      <w:pPr>
        <w:numPr>
          <w:ilvl w:val="1"/>
          <w:numId w:val="6"/>
        </w:numPr>
        <w:ind w:left="1440" w:hanging="360"/>
        <w:jc w:val="left"/>
      </w:pPr>
      <w:r w:rsidRPr="00F31CE3">
        <w:t>operating capacities, efficiencies and applications</w:t>
      </w:r>
    </w:p>
    <w:p w:rsidR="00D44002" w:rsidRPr="00F31CE3" w:rsidP="00F31CE3">
      <w:pPr>
        <w:numPr>
          <w:ilvl w:val="1"/>
          <w:numId w:val="6"/>
        </w:numPr>
        <w:ind w:left="1440" w:hanging="360"/>
        <w:jc w:val="left"/>
      </w:pPr>
      <w:r w:rsidRPr="00F31CE3">
        <w:t>location and purpose of guards, rails and sensors</w:t>
      </w:r>
    </w:p>
    <w:p w:rsidR="00D44002" w:rsidRPr="00F31CE3" w:rsidP="00F31CE3">
      <w:pPr>
        <w:numPr>
          <w:ilvl w:val="1"/>
          <w:numId w:val="6"/>
        </w:numPr>
        <w:ind w:left="1440" w:hanging="360"/>
        <w:jc w:val="left"/>
      </w:pPr>
      <w:r w:rsidRPr="00F31CE3">
        <w:t>feedback instrumentation</w:t>
      </w:r>
    </w:p>
    <w:p w:rsidR="00D44002" w:rsidRPr="00F31CE3" w:rsidP="00F31CE3">
      <w:pPr>
        <w:numPr>
          <w:ilvl w:val="1"/>
          <w:numId w:val="6"/>
        </w:numPr>
        <w:ind w:left="1440" w:hanging="360"/>
        <w:jc w:val="left"/>
      </w:pPr>
      <w:r w:rsidRPr="00F31CE3">
        <w:t>services required, including compressed air, electricity and water</w:t>
      </w:r>
    </w:p>
    <w:p w:rsidR="00D44002" w:rsidRPr="00F31CE3" w:rsidP="00F31CE3">
      <w:pPr>
        <w:numPr>
          <w:ilvl w:val="1"/>
          <w:numId w:val="6"/>
        </w:numPr>
        <w:ind w:left="1440" w:hanging="360"/>
        <w:jc w:val="left"/>
      </w:pPr>
      <w:r w:rsidRPr="00F31CE3">
        <w:t>shutdown procedures</w:t>
      </w:r>
    </w:p>
    <w:p w:rsidR="00D44002" w:rsidRPr="00F31CE3" w:rsidP="00F31CE3">
      <w:pPr>
        <w:numPr>
          <w:ilvl w:val="0"/>
          <w:numId w:val="6"/>
        </w:numPr>
        <w:ind w:left="720" w:hanging="360"/>
        <w:jc w:val="left"/>
      </w:pPr>
      <w:r w:rsidRPr="00F31CE3">
        <w:t>requirements for reporting for traceability.</w:t>
      </w:r>
    </w:p>
    <w:p w:rsidR="00D44002" w:rsidRPr="00F31CE3" w:rsidP="00F31CE3">
      <w:pPr>
        <w:pStyle w:val="Heading1"/>
      </w:pPr>
      <w:r w:rsidRPr="00F31CE3">
        <w:t>Assessment Conditions</w:t>
      </w:r>
    </w:p>
    <w:p w:rsidR="00D44002" w:rsidRPr="00F31CE3" w:rsidP="00F31CE3">
      <w:r w:rsidRPr="00F31CE3">
        <w:t>Assessment of the skills in this unit of competency must take place under the following conditions: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physical conditions: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rPr>
          <w:i/>
          <w:iCs/>
        </w:rPr>
        <w:t>skills must be demonstrated in a meat processing or rendering premises with meat sizing equipment, at workplace production speed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resources, equipment and materials: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rPr>
          <w:i/>
          <w:iCs/>
        </w:rPr>
        <w:t>personal protective equipment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rPr>
          <w:i/>
          <w:iCs/>
        </w:rPr>
        <w:t>meat sizing equipment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rPr>
          <w:i/>
          <w:iCs/>
        </w:rPr>
        <w:t>meat meal for sizing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specifications: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rPr>
          <w:i/>
          <w:iCs/>
        </w:rPr>
        <w:t>workplace standard operating procedures, work instructions and task-related documents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personnel: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rPr>
          <w:i/>
          <w:iCs/>
        </w:rPr>
        <w:t>access to team members and supervisor or mentor.</w:t>
      </w:r>
    </w:p>
    <w:p w:rsidR="00D44002" w:rsidRPr="00F31CE3" w:rsidP="00F31CE3">
      <w:r w:rsidRPr="00F31CE3">
        <w:t>Assessment for this unit must include at least three forms of evidence.</w:t>
      </w:r>
    </w:p>
    <w:p w:rsidR="00D44002" w:rsidRPr="00F31CE3" w:rsidP="00F31CE3">
      <w:r w:rsidRPr="00F31CE3">
        <w:t>Assessors of this unit must satisfy the requirements for assessors in applicable vocational education and training legislation, frameworks and/or standards.</w:t>
      </w:r>
    </w:p>
    <w:p w:rsidR="00D44002" w:rsidRPr="00F31CE3" w:rsidP="00F31CE3">
      <w:r w:rsidRPr="00F31CE3">
        <w:rPr>
          <w:rStyle w:val="Strong"/>
        </w:rPr>
        <w:t>Mandatory workplace requirements</w:t>
      </w:r>
    </w:p>
    <w:p w:rsidR="00D44002" w:rsidRPr="00F31CE3" w:rsidP="00F31CE3">
      <w:r w:rsidRPr="00F31CE3">
        <w:t xml:space="preserve">Mandatory workplace requirements are shown in </w:t>
      </w:r>
      <w:r w:rsidRPr="00F31CE3">
        <w:rPr>
          <w:i/>
          <w:iCs/>
        </w:rPr>
        <w:t>italic</w:t>
      </w:r>
      <w:r w:rsidRPr="00F31CE3">
        <w:t xml:space="preserve"> text. Refer to the Companion Volume Implementation Guide for further information.</w:t>
      </w:r>
    </w:p>
    <w:p w:rsidR="00D44002" w:rsidRPr="00F31CE3" w:rsidP="00F31CE3">
      <w:pPr>
        <w:pStyle w:val="Heading1"/>
      </w:pPr>
      <w:r w:rsidRPr="00F31CE3">
        <w:t>Link</w:t>
      </w:r>
    </w:p>
    <w:p w:rsidR="00D44002" w:rsidRPr="00F31CE3" w:rsidP="00F31CE3">
      <w:r w:rsidRPr="00F31CE3">
        <w:t xml:space="preserve">Companion volumes, including implementation guides, are found on the national training register - </w:t>
      </w:r>
      <w:hyperlink r:id="rId13" w:history="1">
        <w:r w:rsidRPr="00F31CE3">
          <w:rPr>
            <w:rStyle w:val="Hyperlink"/>
          </w:rPr>
          <w:t>https://training.gov.au/training/details/AMP</w:t>
        </w:r>
      </w:hyperlink>
      <w:r w:rsidRPr="00F31CE3">
        <w:t>.</w:t>
      </w:r>
    </w:p>
    <w:p w:rsidR="00D44002" w:rsidRPr="00F31CE3" w:rsidP="00F31CE3"/>
    <w:sectPr w:rsidSect="00F31508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RPr="00FA4076" w:rsidP="00FA4076" w14:paraId="4A580142" w14:textId="77777777">
    <w:pPr>
      <w:pStyle w:val="Footer"/>
    </w:pPr>
    <w:r w:rsidRPr="00E53E67">
      <w:rPr>
        <w:b/>
        <w:bCs/>
        <w:sz w:val="20"/>
        <w:szCs w:val="20"/>
      </w:rPr>
      <w:t xml:space="preserve">Release: </w:t>
    </w:r>
    <w:r w:rsidRPr="00E53E67">
      <w:rPr>
        <w:b/>
        <w:bCs/>
        <w:sz w:val="20"/>
        <w:szCs w:val="20"/>
      </w:rPr>
      <w:t>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42B9788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:rsidRPr="003E4545" w:rsidP="00F27B0A" w14:paraId="095EFECA" w14:textId="77777777">
    <w:pPr>
      <w:pStyle w:val="Footer"/>
      <w:pBdr>
        <w:top w:val="single" w:sz="4" w:space="1" w:color="auto"/>
      </w:pBdr>
      <w:tabs>
        <w:tab w:val="clear" w:pos="4513"/>
      </w:tabs>
      <w:jc w:val="both"/>
      <w:rPr>
        <w:sz w:val="16"/>
        <w:szCs w:val="16"/>
      </w:rPr>
    </w:pPr>
    <w:r w:rsidRPr="003E4545">
      <w:rPr>
        <w:sz w:val="16"/>
        <w:szCs w:val="16"/>
      </w:rPr>
      <w:t>Current</w:t>
    </w:r>
    <w:r w:rsidRPr="003E4545">
      <w:rPr>
        <w:sz w:val="16"/>
        <w:szCs w:val="16"/>
      </w:rPr>
      <w:tab/>
      <w:t xml:space="preserve">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5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</w:t>
    </w:r>
    <w:r w:rsidRPr="003E4545">
      <w:rPr>
        <w:sz w:val="16"/>
        <w:szCs w:val="16"/>
      </w:rPr>
      <w:t xml:space="preserve">of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7</w:t>
    </w:r>
    <w:r>
      <w:rPr>
        <w:sz w:val="16"/>
        <w:szCs w:val="16"/>
      </w:rPr>
      <w:fldChar w:fldCharType="end"/>
    </w:r>
  </w:p>
  <w:p w:rsidR="00F27B0A" w:rsidP="00F27B0A" w14:paraId="2EC2BA9B" w14:textId="316FF1BF">
    <w:pPr>
      <w:pStyle w:val="Footer"/>
      <w:tabs>
        <w:tab w:val="clear" w:pos="4513"/>
      </w:tabs>
      <w:jc w:val="both"/>
    </w:pPr>
    <w:r w:rsidRPr="003E4545">
      <w:rPr>
        <w:sz w:val="16"/>
        <w:szCs w:val="16"/>
      </w:rPr>
      <w:t xml:space="preserve">© Commonwealth of Australia,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DATE  \@ "yyyy"  \* MERGEFORMAT </w:instrText>
    </w:r>
    <w:r>
      <w:rPr>
        <w:sz w:val="16"/>
        <w:szCs w:val="16"/>
      </w:rPr>
      <w:fldChar w:fldCharType="separate"/>
    </w:r>
    <w:r w:rsidR="00986284">
      <w:rPr>
        <w:noProof/>
        <w:sz w:val="16"/>
        <w:szCs w:val="16"/>
      </w:rPr>
      <w:t>2026</w:t>
    </w:r>
    <w:r>
      <w:rPr>
        <w:sz w:val="16"/>
        <w:szCs w:val="16"/>
      </w:rPr>
      <w:fldChar w:fldCharType="end"/>
    </w:r>
    <w:r w:rsidRPr="003E4545">
      <w:rPr>
        <w:sz w:val="16"/>
        <w:szCs w:val="16"/>
      </w:rPr>
      <w:tab/>
    </w:r>
    <w:r w:rsidRPr="003E4545">
      <w:rPr>
        <w:sz w:val="16"/>
        <w:szCs w:val="16"/>
      </w:rPr>
      <w:t>Skills Insight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0937DF4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:rsidRPr="003E4545" w:rsidP="00F27B0A" w14:textId="77777777">
    <w:pPr>
      <w:pStyle w:val="Footer"/>
      <w:pBdr>
        <w:top w:val="single" w:sz="4" w:space="1" w:color="auto"/>
      </w:pBdr>
      <w:tabs>
        <w:tab w:val="clear" w:pos="4513"/>
      </w:tabs>
      <w:jc w:val="both"/>
      <w:rPr>
        <w:sz w:val="16"/>
        <w:szCs w:val="16"/>
      </w:rPr>
    </w:pPr>
    <w:r w:rsidRPr="003E4545">
      <w:rPr>
        <w:sz w:val="16"/>
        <w:szCs w:val="16"/>
      </w:rPr>
      <w:t>Current</w:t>
    </w:r>
    <w:r w:rsidRPr="003E4545">
      <w:rPr>
        <w:sz w:val="16"/>
        <w:szCs w:val="16"/>
      </w:rPr>
      <w:tab/>
      <w:t xml:space="preserve">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7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</w:t>
    </w:r>
    <w:r w:rsidRPr="003E4545">
      <w:rPr>
        <w:sz w:val="16"/>
        <w:szCs w:val="16"/>
      </w:rPr>
      <w:t xml:space="preserve">of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7</w:t>
    </w:r>
    <w:r>
      <w:rPr>
        <w:sz w:val="16"/>
        <w:szCs w:val="16"/>
      </w:rPr>
      <w:fldChar w:fldCharType="end"/>
    </w:r>
  </w:p>
  <w:p w:rsidR="00F27B0A" w:rsidP="00F27B0A" w14:textId="316FF1BF">
    <w:pPr>
      <w:pStyle w:val="Footer"/>
      <w:tabs>
        <w:tab w:val="clear" w:pos="4513"/>
      </w:tabs>
      <w:jc w:val="both"/>
    </w:pPr>
    <w:r w:rsidRPr="003E4545">
      <w:rPr>
        <w:sz w:val="16"/>
        <w:szCs w:val="16"/>
      </w:rPr>
      <w:t xml:space="preserve">© Commonwealth of Australia,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DATE  \@ "yyyy"  \* MERGEFORMAT </w:instrText>
    </w:r>
    <w:r>
      <w:rPr>
        <w:sz w:val="16"/>
        <w:szCs w:val="16"/>
      </w:rPr>
      <w:fldChar w:fldCharType="separate"/>
    </w:r>
    <w:r w:rsidR="00986284">
      <w:rPr>
        <w:noProof/>
        <w:sz w:val="16"/>
        <w:szCs w:val="16"/>
      </w:rPr>
      <w:t>2026</w:t>
    </w:r>
    <w:r>
      <w:rPr>
        <w:sz w:val="16"/>
        <w:szCs w:val="16"/>
      </w:rPr>
      <w:fldChar w:fldCharType="end"/>
    </w:r>
    <w:r w:rsidRPr="003E4545">
      <w:rPr>
        <w:sz w:val="16"/>
        <w:szCs w:val="16"/>
      </w:rPr>
      <w:tab/>
    </w:r>
    <w:r w:rsidRPr="003E4545">
      <w:rPr>
        <w:sz w:val="16"/>
        <w:szCs w:val="16"/>
      </w:rPr>
      <w:t>Skills Insight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P="00FA4076" w14:paraId="2756F965" w14:textId="1F82DF94">
    <w:pPr>
      <w:pStyle w:val="Header"/>
      <w:jc w:val="center"/>
    </w:pPr>
    <w:r>
      <w:rPr>
        <w:noProof/>
      </w:rPr>
      <w:drawing>
        <wp:inline distT="0" distB="0" distL="0" distR="0">
          <wp:extent cx="2066667" cy="1076190"/>
          <wp:effectExtent l="0" t="0" r="0" b="0"/>
          <wp:docPr id="1572583867" name="Picture 1" descr="Australian Government 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2583867" name="Picture 1" descr="Australian Government Crest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2066667" cy="10761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60696BB4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F3E52" w:rsidRPr="003E4545" w:rsidP="0038530E" w14:paraId="05DA8F9E" w14:textId="6D38A07F">
    <w:pPr>
      <w:pStyle w:val="Header"/>
      <w:pBdr>
        <w:bottom w:val="single" w:sz="4" w:space="1" w:color="auto"/>
      </w:pBdr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>AMPREN204 Operate meat size reduction equipment</w:t>
    </w:r>
    <w:r>
      <w:rPr>
        <w:sz w:val="16"/>
        <w:szCs w:val="16"/>
      </w:rPr>
      <w:tab/>
    </w:r>
    <w:r w:rsidRPr="003E4545">
      <w:rPr>
        <w:sz w:val="16"/>
        <w:szCs w:val="16"/>
      </w:rPr>
      <w:t xml:space="preserve">Date this document was generated: </w:t>
    </w:r>
    <w:r>
      <w:rPr>
        <w:sz w:val="16"/>
        <w:szCs w:val="16"/>
      </w:rPr>
      <w:t>10 September 2026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12A3AE3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F3E52" w:rsidRPr="003E4545" w:rsidP="0038530E" w14:textId="6D38A07F">
    <w:pPr>
      <w:pStyle w:val="Header"/>
      <w:pBdr>
        <w:bottom w:val="single" w:sz="4" w:space="1" w:color="auto"/>
      </w:pBdr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>Assessment Requirements for AMPREN204 Operate meat size reduction equipment</w:t>
    </w:r>
    <w:r>
      <w:rPr>
        <w:sz w:val="16"/>
        <w:szCs w:val="16"/>
      </w:rPr>
      <w:tab/>
    </w:r>
    <w:r w:rsidRPr="003E4545">
      <w:rPr>
        <w:sz w:val="16"/>
        <w:szCs w:val="16"/>
      </w:rPr>
      <w:t xml:space="preserve">Date this document was generated: </w:t>
    </w:r>
    <w:r>
      <w:rPr>
        <w:sz w:val="16"/>
        <w:szCs w:val="16"/>
      </w:rPr>
      <w:t>10 September 2026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05C92F89"/>
    <w:multiLevelType w:val="hybridMultilevel"/>
    <w:tmpl w:val="665D409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2" w15:restartNumberingAfterBreak="0">
    <w:nsid w:val="665D409A"/>
    <w:multiLevelType w:val="hybridMultilevel"/>
    <w:tmpl w:val="665D409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665D409B"/>
    <w:multiLevelType w:val="hybridMultilevel"/>
    <w:tmpl w:val="665D409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665D409C"/>
    <w:multiLevelType w:val="hybridMultilevel"/>
    <w:tmpl w:val="665D409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5" w15:restartNumberingAfterBreak="0">
    <w:nsid w:val="665D409D"/>
    <w:multiLevelType w:val="hybridMultilevel"/>
    <w:tmpl w:val="665D409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2124492594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02E"/>
    <w:rsid w:val="00001716"/>
    <w:rsid w:val="00003DB6"/>
    <w:rsid w:val="00011C84"/>
    <w:rsid w:val="0002276B"/>
    <w:rsid w:val="00032672"/>
    <w:rsid w:val="00032758"/>
    <w:rsid w:val="00036205"/>
    <w:rsid w:val="00041A6A"/>
    <w:rsid w:val="0004324C"/>
    <w:rsid w:val="00043658"/>
    <w:rsid w:val="00043FE6"/>
    <w:rsid w:val="00044734"/>
    <w:rsid w:val="0006329A"/>
    <w:rsid w:val="00063382"/>
    <w:rsid w:val="000670DA"/>
    <w:rsid w:val="000761A0"/>
    <w:rsid w:val="000934AA"/>
    <w:rsid w:val="0009533A"/>
    <w:rsid w:val="000A3C26"/>
    <w:rsid w:val="000A4105"/>
    <w:rsid w:val="000A6888"/>
    <w:rsid w:val="000B3C8F"/>
    <w:rsid w:val="000B5D56"/>
    <w:rsid w:val="000D392F"/>
    <w:rsid w:val="000D4918"/>
    <w:rsid w:val="000D52E6"/>
    <w:rsid w:val="000E134A"/>
    <w:rsid w:val="000F7257"/>
    <w:rsid w:val="00100960"/>
    <w:rsid w:val="001025D1"/>
    <w:rsid w:val="00102854"/>
    <w:rsid w:val="00104464"/>
    <w:rsid w:val="0010497C"/>
    <w:rsid w:val="00112439"/>
    <w:rsid w:val="001139F8"/>
    <w:rsid w:val="00113C48"/>
    <w:rsid w:val="001279EF"/>
    <w:rsid w:val="00155E51"/>
    <w:rsid w:val="001639BB"/>
    <w:rsid w:val="00164298"/>
    <w:rsid w:val="0017445A"/>
    <w:rsid w:val="00174B3C"/>
    <w:rsid w:val="00187F7F"/>
    <w:rsid w:val="00190EA1"/>
    <w:rsid w:val="00197ABF"/>
    <w:rsid w:val="001A3FC6"/>
    <w:rsid w:val="001B0586"/>
    <w:rsid w:val="001B2903"/>
    <w:rsid w:val="001B3FB2"/>
    <w:rsid w:val="001B64A1"/>
    <w:rsid w:val="001B76F4"/>
    <w:rsid w:val="001C11F8"/>
    <w:rsid w:val="001C6F51"/>
    <w:rsid w:val="001C71B5"/>
    <w:rsid w:val="001D7B20"/>
    <w:rsid w:val="001E36D4"/>
    <w:rsid w:val="001F08C6"/>
    <w:rsid w:val="001F65FC"/>
    <w:rsid w:val="002103C0"/>
    <w:rsid w:val="00211A8C"/>
    <w:rsid w:val="00213466"/>
    <w:rsid w:val="00222E93"/>
    <w:rsid w:val="00226877"/>
    <w:rsid w:val="00227BD4"/>
    <w:rsid w:val="00246CE0"/>
    <w:rsid w:val="00262572"/>
    <w:rsid w:val="0026375B"/>
    <w:rsid w:val="002644C1"/>
    <w:rsid w:val="00266B3B"/>
    <w:rsid w:val="00266C4D"/>
    <w:rsid w:val="002807FD"/>
    <w:rsid w:val="00282869"/>
    <w:rsid w:val="002869A9"/>
    <w:rsid w:val="002A002E"/>
    <w:rsid w:val="002A5613"/>
    <w:rsid w:val="002B6140"/>
    <w:rsid w:val="002C1A16"/>
    <w:rsid w:val="002C2B22"/>
    <w:rsid w:val="002D4A04"/>
    <w:rsid w:val="002E425A"/>
    <w:rsid w:val="002E6BE1"/>
    <w:rsid w:val="002E6E27"/>
    <w:rsid w:val="002F4DCD"/>
    <w:rsid w:val="002F6500"/>
    <w:rsid w:val="003030C4"/>
    <w:rsid w:val="0030690A"/>
    <w:rsid w:val="003069B6"/>
    <w:rsid w:val="00330352"/>
    <w:rsid w:val="00346FFB"/>
    <w:rsid w:val="00351D9D"/>
    <w:rsid w:val="003571B9"/>
    <w:rsid w:val="00370B77"/>
    <w:rsid w:val="00380794"/>
    <w:rsid w:val="00381B18"/>
    <w:rsid w:val="003820E9"/>
    <w:rsid w:val="00382DF4"/>
    <w:rsid w:val="0038530E"/>
    <w:rsid w:val="00385C31"/>
    <w:rsid w:val="003B286B"/>
    <w:rsid w:val="003B39E2"/>
    <w:rsid w:val="003D175E"/>
    <w:rsid w:val="003E4545"/>
    <w:rsid w:val="003F26B2"/>
    <w:rsid w:val="003F3D1F"/>
    <w:rsid w:val="003F615F"/>
    <w:rsid w:val="00403B2B"/>
    <w:rsid w:val="00404AE8"/>
    <w:rsid w:val="004235DB"/>
    <w:rsid w:val="0042688C"/>
    <w:rsid w:val="00431CBB"/>
    <w:rsid w:val="00432B22"/>
    <w:rsid w:val="004368AF"/>
    <w:rsid w:val="00441958"/>
    <w:rsid w:val="00454D3D"/>
    <w:rsid w:val="00457698"/>
    <w:rsid w:val="004726B8"/>
    <w:rsid w:val="0047638B"/>
    <w:rsid w:val="004832B7"/>
    <w:rsid w:val="00490D5E"/>
    <w:rsid w:val="00492374"/>
    <w:rsid w:val="00497944"/>
    <w:rsid w:val="004B00D0"/>
    <w:rsid w:val="004B18E5"/>
    <w:rsid w:val="004B20E2"/>
    <w:rsid w:val="004B23A7"/>
    <w:rsid w:val="004C2B1A"/>
    <w:rsid w:val="004D10E5"/>
    <w:rsid w:val="004D1A81"/>
    <w:rsid w:val="004E290E"/>
    <w:rsid w:val="004F165C"/>
    <w:rsid w:val="004F1795"/>
    <w:rsid w:val="00500FFC"/>
    <w:rsid w:val="00501C36"/>
    <w:rsid w:val="005067E8"/>
    <w:rsid w:val="00512FF0"/>
    <w:rsid w:val="00513126"/>
    <w:rsid w:val="00516904"/>
    <w:rsid w:val="005219D8"/>
    <w:rsid w:val="00522E1A"/>
    <w:rsid w:val="00524DAA"/>
    <w:rsid w:val="005355BA"/>
    <w:rsid w:val="00542D25"/>
    <w:rsid w:val="0054353E"/>
    <w:rsid w:val="005503CB"/>
    <w:rsid w:val="00560137"/>
    <w:rsid w:val="00564561"/>
    <w:rsid w:val="005663F8"/>
    <w:rsid w:val="0056754A"/>
    <w:rsid w:val="00572299"/>
    <w:rsid w:val="005743C4"/>
    <w:rsid w:val="005871AF"/>
    <w:rsid w:val="00593918"/>
    <w:rsid w:val="005A2B1D"/>
    <w:rsid w:val="005B33BC"/>
    <w:rsid w:val="005B543F"/>
    <w:rsid w:val="005B7A74"/>
    <w:rsid w:val="005C16AE"/>
    <w:rsid w:val="005C4CC6"/>
    <w:rsid w:val="005D2B3F"/>
    <w:rsid w:val="005E3CC2"/>
    <w:rsid w:val="005E7A34"/>
    <w:rsid w:val="005F118A"/>
    <w:rsid w:val="005F40E1"/>
    <w:rsid w:val="005F489F"/>
    <w:rsid w:val="005F6F5B"/>
    <w:rsid w:val="00614E9C"/>
    <w:rsid w:val="006161E3"/>
    <w:rsid w:val="006170D3"/>
    <w:rsid w:val="00621CBC"/>
    <w:rsid w:val="0062273A"/>
    <w:rsid w:val="006301FF"/>
    <w:rsid w:val="00630517"/>
    <w:rsid w:val="00635D48"/>
    <w:rsid w:val="00637A3D"/>
    <w:rsid w:val="006600D1"/>
    <w:rsid w:val="0066407A"/>
    <w:rsid w:val="006705FA"/>
    <w:rsid w:val="00674A8A"/>
    <w:rsid w:val="0067722C"/>
    <w:rsid w:val="00677884"/>
    <w:rsid w:val="00682E9B"/>
    <w:rsid w:val="00684D0F"/>
    <w:rsid w:val="006A43BF"/>
    <w:rsid w:val="006A5202"/>
    <w:rsid w:val="006B5BAE"/>
    <w:rsid w:val="006C1244"/>
    <w:rsid w:val="006D323C"/>
    <w:rsid w:val="006D3EB7"/>
    <w:rsid w:val="006E472E"/>
    <w:rsid w:val="006F06EC"/>
    <w:rsid w:val="006F1DFD"/>
    <w:rsid w:val="006F231B"/>
    <w:rsid w:val="006F3A9E"/>
    <w:rsid w:val="00704250"/>
    <w:rsid w:val="007103AD"/>
    <w:rsid w:val="00712B8A"/>
    <w:rsid w:val="0071575F"/>
    <w:rsid w:val="00726497"/>
    <w:rsid w:val="007351F1"/>
    <w:rsid w:val="00735D94"/>
    <w:rsid w:val="00736341"/>
    <w:rsid w:val="0074423E"/>
    <w:rsid w:val="00751158"/>
    <w:rsid w:val="007519C1"/>
    <w:rsid w:val="00752378"/>
    <w:rsid w:val="00757A0E"/>
    <w:rsid w:val="00761FC7"/>
    <w:rsid w:val="007628C3"/>
    <w:rsid w:val="00773269"/>
    <w:rsid w:val="00774FEA"/>
    <w:rsid w:val="00775E24"/>
    <w:rsid w:val="0078256D"/>
    <w:rsid w:val="00787507"/>
    <w:rsid w:val="00793E01"/>
    <w:rsid w:val="00794E49"/>
    <w:rsid w:val="00794FA5"/>
    <w:rsid w:val="007A1A24"/>
    <w:rsid w:val="007C1BA3"/>
    <w:rsid w:val="007D1B11"/>
    <w:rsid w:val="007D59B6"/>
    <w:rsid w:val="007F18D6"/>
    <w:rsid w:val="007F520C"/>
    <w:rsid w:val="007F6285"/>
    <w:rsid w:val="008108B8"/>
    <w:rsid w:val="00812B70"/>
    <w:rsid w:val="0081463A"/>
    <w:rsid w:val="00814E85"/>
    <w:rsid w:val="00823A11"/>
    <w:rsid w:val="00824604"/>
    <w:rsid w:val="00825426"/>
    <w:rsid w:val="00836A00"/>
    <w:rsid w:val="00847844"/>
    <w:rsid w:val="00862744"/>
    <w:rsid w:val="008649CB"/>
    <w:rsid w:val="00872EBC"/>
    <w:rsid w:val="00874FF7"/>
    <w:rsid w:val="008805C8"/>
    <w:rsid w:val="00882287"/>
    <w:rsid w:val="00883F83"/>
    <w:rsid w:val="008845E8"/>
    <w:rsid w:val="00884D2C"/>
    <w:rsid w:val="00887EFD"/>
    <w:rsid w:val="00894669"/>
    <w:rsid w:val="0089616F"/>
    <w:rsid w:val="00897001"/>
    <w:rsid w:val="00897CB4"/>
    <w:rsid w:val="008A5287"/>
    <w:rsid w:val="008B51CD"/>
    <w:rsid w:val="008B6DCB"/>
    <w:rsid w:val="008C6C7B"/>
    <w:rsid w:val="008F3E52"/>
    <w:rsid w:val="00910A1D"/>
    <w:rsid w:val="009121B0"/>
    <w:rsid w:val="009125CA"/>
    <w:rsid w:val="0091477C"/>
    <w:rsid w:val="009264EB"/>
    <w:rsid w:val="009345F5"/>
    <w:rsid w:val="00936235"/>
    <w:rsid w:val="00950F79"/>
    <w:rsid w:val="00961188"/>
    <w:rsid w:val="00961A5C"/>
    <w:rsid w:val="00964EBF"/>
    <w:rsid w:val="00967B77"/>
    <w:rsid w:val="00970070"/>
    <w:rsid w:val="00971518"/>
    <w:rsid w:val="0097697A"/>
    <w:rsid w:val="00986284"/>
    <w:rsid w:val="00991A5B"/>
    <w:rsid w:val="009926F6"/>
    <w:rsid w:val="00992FD5"/>
    <w:rsid w:val="00996622"/>
    <w:rsid w:val="009A5BA7"/>
    <w:rsid w:val="009A6430"/>
    <w:rsid w:val="009B0979"/>
    <w:rsid w:val="009B7E04"/>
    <w:rsid w:val="009C0105"/>
    <w:rsid w:val="009D0860"/>
    <w:rsid w:val="009E40FF"/>
    <w:rsid w:val="009E6DC5"/>
    <w:rsid w:val="009F22CE"/>
    <w:rsid w:val="00A06DAE"/>
    <w:rsid w:val="00A11C08"/>
    <w:rsid w:val="00A1681D"/>
    <w:rsid w:val="00A20013"/>
    <w:rsid w:val="00A26181"/>
    <w:rsid w:val="00A32B80"/>
    <w:rsid w:val="00A32F83"/>
    <w:rsid w:val="00A43A63"/>
    <w:rsid w:val="00A574ED"/>
    <w:rsid w:val="00A73A18"/>
    <w:rsid w:val="00A74143"/>
    <w:rsid w:val="00A90BFD"/>
    <w:rsid w:val="00A91052"/>
    <w:rsid w:val="00AA0300"/>
    <w:rsid w:val="00AA168D"/>
    <w:rsid w:val="00AA3131"/>
    <w:rsid w:val="00AB352E"/>
    <w:rsid w:val="00AB36F5"/>
    <w:rsid w:val="00AB3ACF"/>
    <w:rsid w:val="00AD4375"/>
    <w:rsid w:val="00AD5023"/>
    <w:rsid w:val="00AD752D"/>
    <w:rsid w:val="00AD7694"/>
    <w:rsid w:val="00AE5A77"/>
    <w:rsid w:val="00AF08AC"/>
    <w:rsid w:val="00AF21BF"/>
    <w:rsid w:val="00AF38BF"/>
    <w:rsid w:val="00B118FB"/>
    <w:rsid w:val="00B136BC"/>
    <w:rsid w:val="00B1796F"/>
    <w:rsid w:val="00B209D8"/>
    <w:rsid w:val="00B249EE"/>
    <w:rsid w:val="00B31BAE"/>
    <w:rsid w:val="00B329CB"/>
    <w:rsid w:val="00B4103E"/>
    <w:rsid w:val="00B47210"/>
    <w:rsid w:val="00B5364D"/>
    <w:rsid w:val="00B53F2D"/>
    <w:rsid w:val="00B544EB"/>
    <w:rsid w:val="00B62662"/>
    <w:rsid w:val="00B72256"/>
    <w:rsid w:val="00B74DD7"/>
    <w:rsid w:val="00B76710"/>
    <w:rsid w:val="00B818B5"/>
    <w:rsid w:val="00B8457C"/>
    <w:rsid w:val="00B911E4"/>
    <w:rsid w:val="00B950C0"/>
    <w:rsid w:val="00B9610D"/>
    <w:rsid w:val="00BA7986"/>
    <w:rsid w:val="00BB4157"/>
    <w:rsid w:val="00BB4203"/>
    <w:rsid w:val="00BB5487"/>
    <w:rsid w:val="00BC0299"/>
    <w:rsid w:val="00BC0C2F"/>
    <w:rsid w:val="00BC739F"/>
    <w:rsid w:val="00BD6B5A"/>
    <w:rsid w:val="00BE3983"/>
    <w:rsid w:val="00BE44A9"/>
    <w:rsid w:val="00BE4637"/>
    <w:rsid w:val="00BF0323"/>
    <w:rsid w:val="00BF3F89"/>
    <w:rsid w:val="00C002D5"/>
    <w:rsid w:val="00C0142E"/>
    <w:rsid w:val="00C01EDA"/>
    <w:rsid w:val="00C02768"/>
    <w:rsid w:val="00C04A97"/>
    <w:rsid w:val="00C12C67"/>
    <w:rsid w:val="00C14C5E"/>
    <w:rsid w:val="00C24235"/>
    <w:rsid w:val="00C2423E"/>
    <w:rsid w:val="00C25A99"/>
    <w:rsid w:val="00C32154"/>
    <w:rsid w:val="00C538BF"/>
    <w:rsid w:val="00C60C23"/>
    <w:rsid w:val="00C646F2"/>
    <w:rsid w:val="00C660CF"/>
    <w:rsid w:val="00C73758"/>
    <w:rsid w:val="00C83175"/>
    <w:rsid w:val="00C87216"/>
    <w:rsid w:val="00C9219C"/>
    <w:rsid w:val="00C9530A"/>
    <w:rsid w:val="00CA6667"/>
    <w:rsid w:val="00CB3533"/>
    <w:rsid w:val="00CB4607"/>
    <w:rsid w:val="00CC67A9"/>
    <w:rsid w:val="00CD5F00"/>
    <w:rsid w:val="00CE70D8"/>
    <w:rsid w:val="00CE75EB"/>
    <w:rsid w:val="00CF261C"/>
    <w:rsid w:val="00CF42BF"/>
    <w:rsid w:val="00D14D06"/>
    <w:rsid w:val="00D15825"/>
    <w:rsid w:val="00D1773F"/>
    <w:rsid w:val="00D2347B"/>
    <w:rsid w:val="00D339C2"/>
    <w:rsid w:val="00D33E57"/>
    <w:rsid w:val="00D33FBB"/>
    <w:rsid w:val="00D35252"/>
    <w:rsid w:val="00D44002"/>
    <w:rsid w:val="00D55866"/>
    <w:rsid w:val="00D57635"/>
    <w:rsid w:val="00D57872"/>
    <w:rsid w:val="00D76614"/>
    <w:rsid w:val="00D85E80"/>
    <w:rsid w:val="00D9069F"/>
    <w:rsid w:val="00D90BA3"/>
    <w:rsid w:val="00D916A4"/>
    <w:rsid w:val="00D9243B"/>
    <w:rsid w:val="00D9446B"/>
    <w:rsid w:val="00D96FCE"/>
    <w:rsid w:val="00DA164C"/>
    <w:rsid w:val="00DA2A72"/>
    <w:rsid w:val="00DB1F0E"/>
    <w:rsid w:val="00DB1F57"/>
    <w:rsid w:val="00DB7CFC"/>
    <w:rsid w:val="00DC17E3"/>
    <w:rsid w:val="00DC27CD"/>
    <w:rsid w:val="00DD2F58"/>
    <w:rsid w:val="00DD33C6"/>
    <w:rsid w:val="00DD5401"/>
    <w:rsid w:val="00DD5CA1"/>
    <w:rsid w:val="00DE0D78"/>
    <w:rsid w:val="00DE77A4"/>
    <w:rsid w:val="00DF2DA7"/>
    <w:rsid w:val="00E04D84"/>
    <w:rsid w:val="00E11E5F"/>
    <w:rsid w:val="00E148D6"/>
    <w:rsid w:val="00E3418A"/>
    <w:rsid w:val="00E34BE6"/>
    <w:rsid w:val="00E364A5"/>
    <w:rsid w:val="00E4345F"/>
    <w:rsid w:val="00E434CD"/>
    <w:rsid w:val="00E436F8"/>
    <w:rsid w:val="00E449F4"/>
    <w:rsid w:val="00E52B5E"/>
    <w:rsid w:val="00E52CE1"/>
    <w:rsid w:val="00E53E67"/>
    <w:rsid w:val="00E6153B"/>
    <w:rsid w:val="00E61734"/>
    <w:rsid w:val="00E61B97"/>
    <w:rsid w:val="00E61F1A"/>
    <w:rsid w:val="00E67B41"/>
    <w:rsid w:val="00E7051D"/>
    <w:rsid w:val="00E709D6"/>
    <w:rsid w:val="00E73351"/>
    <w:rsid w:val="00E7448D"/>
    <w:rsid w:val="00E763D9"/>
    <w:rsid w:val="00E8515B"/>
    <w:rsid w:val="00E8581E"/>
    <w:rsid w:val="00EA0642"/>
    <w:rsid w:val="00EB07CD"/>
    <w:rsid w:val="00EC15C8"/>
    <w:rsid w:val="00EC5C3D"/>
    <w:rsid w:val="00EE2270"/>
    <w:rsid w:val="00EF2FF5"/>
    <w:rsid w:val="00EF6E84"/>
    <w:rsid w:val="00F0357A"/>
    <w:rsid w:val="00F048D2"/>
    <w:rsid w:val="00F12AC6"/>
    <w:rsid w:val="00F14533"/>
    <w:rsid w:val="00F16052"/>
    <w:rsid w:val="00F23D12"/>
    <w:rsid w:val="00F2677E"/>
    <w:rsid w:val="00F27B0A"/>
    <w:rsid w:val="00F3025B"/>
    <w:rsid w:val="00F31508"/>
    <w:rsid w:val="00F31CE3"/>
    <w:rsid w:val="00F4021B"/>
    <w:rsid w:val="00F453FC"/>
    <w:rsid w:val="00F559E5"/>
    <w:rsid w:val="00F622F2"/>
    <w:rsid w:val="00F6277A"/>
    <w:rsid w:val="00F6342E"/>
    <w:rsid w:val="00F660FA"/>
    <w:rsid w:val="00F82094"/>
    <w:rsid w:val="00F843E5"/>
    <w:rsid w:val="00F8649C"/>
    <w:rsid w:val="00F86589"/>
    <w:rsid w:val="00F960CB"/>
    <w:rsid w:val="00FA4076"/>
    <w:rsid w:val="00FA4516"/>
    <w:rsid w:val="00FB447B"/>
    <w:rsid w:val="00FB5854"/>
    <w:rsid w:val="00FC257E"/>
    <w:rsid w:val="00FC2D28"/>
    <w:rsid w:val="00FD1820"/>
    <w:rsid w:val="00FD6CAA"/>
    <w:rsid w:val="00FD7729"/>
    <w:rsid w:val="00FD7A21"/>
    <w:rsid w:val="00FD7FCC"/>
    <w:rsid w:val="00FF4324"/>
  </w:rsids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B6DE972"/>
  <w15:chartTrackingRefBased/>
  <w15:docId w15:val="{9484522D-40FD-4F62-8642-C46B5A354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0642"/>
    <w:pPr>
      <w:spacing w:before="120" w:after="12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BC0299"/>
    <w:pPr>
      <w:keepNext/>
      <w:spacing w:after="60"/>
      <w:outlineLvl w:val="0"/>
    </w:pPr>
  </w:style>
  <w:style w:type="paragraph" w:styleId="Heading2">
    <w:name w:val="heading 2"/>
    <w:basedOn w:val="Normal"/>
    <w:next w:val="Normal"/>
    <w:link w:val="Heading2Char"/>
    <w:uiPriority w:val="9"/>
    <w:unhideWhenUsed/>
    <w:rsid w:val="00736341"/>
    <w:pPr>
      <w:spacing w:before="360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9926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6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6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6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6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6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6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0299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36341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26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6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6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6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6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6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6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Heading1"/>
    <w:next w:val="Normal"/>
    <w:link w:val="TitleChar"/>
    <w:uiPriority w:val="10"/>
    <w:qFormat/>
    <w:rsid w:val="00262572"/>
    <w:pPr>
      <w:spacing w:before="5040"/>
      <w:jc w:val="center"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262572"/>
    <w:rPr>
      <w:rFonts w:ascii="Times New Roman" w:hAnsi="Times New Roman" w:cs="Times New Roman"/>
      <w:b/>
      <w:bC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6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26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26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26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26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26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6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6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26F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926F6"/>
  </w:style>
  <w:style w:type="paragraph" w:styleId="Footer">
    <w:name w:val="footer"/>
    <w:basedOn w:val="Normal"/>
    <w:link w:val="Foot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926F6"/>
  </w:style>
  <w:style w:type="table" w:styleId="TableGrid">
    <w:name w:val="Table Grid"/>
    <w:basedOn w:val="TableNormal"/>
    <w:uiPriority w:val="39"/>
    <w:rsid w:val="003303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rsid w:val="007F18D6"/>
    <w:rPr>
      <w:i/>
    </w:rPr>
  </w:style>
  <w:style w:type="paragraph" w:styleId="BodyText">
    <w:name w:val="Body Text"/>
    <w:basedOn w:val="Normal"/>
    <w:link w:val="BodyTextChar"/>
    <w:rsid w:val="000670DA"/>
    <w:pPr>
      <w:keepLines/>
    </w:pPr>
    <w:rPr>
      <w:rFonts w:eastAsia="Times New Roman"/>
      <w:kern w:val="0"/>
      <w:szCs w:val="22"/>
      <w14:ligatures w14:val="none"/>
    </w:rPr>
  </w:style>
  <w:style w:type="character" w:customStyle="1" w:styleId="BodyTextChar">
    <w:name w:val="Body Text Char"/>
    <w:basedOn w:val="DefaultParagraphFont"/>
    <w:link w:val="BodyText"/>
    <w:rsid w:val="000670DA"/>
    <w:rPr>
      <w:rFonts w:ascii="Times New Roman" w:eastAsia="Times New Roman" w:hAnsi="Times New Roman" w:cs="Times New Roman"/>
      <w:kern w:val="0"/>
      <w:sz w:val="24"/>
      <w14:ligatures w14:val="none"/>
    </w:rPr>
  </w:style>
  <w:style w:type="paragraph" w:customStyle="1" w:styleId="BodyTextBold">
    <w:name w:val="Body Text Bold"/>
    <w:basedOn w:val="BodyText"/>
    <w:qFormat/>
    <w:rsid w:val="000670DA"/>
    <w:rPr>
      <w:b/>
    </w:rPr>
  </w:style>
  <w:style w:type="paragraph" w:styleId="ListBullet">
    <w:name w:val="List Bullet"/>
    <w:basedOn w:val="List"/>
    <w:rsid w:val="00D916A4"/>
    <w:pPr>
      <w:keepLines/>
      <w:numPr>
        <w:numId w:val="1"/>
      </w:numPr>
      <w:spacing w:before="40" w:after="40"/>
      <w:contextualSpacing w:val="0"/>
    </w:pPr>
    <w:rPr>
      <w:rFonts w:eastAsia="Times New Roman"/>
      <w:kern w:val="0"/>
      <w:szCs w:val="22"/>
      <w14:ligatures w14:val="none"/>
    </w:rPr>
  </w:style>
  <w:style w:type="paragraph" w:customStyle="1" w:styleId="SmallText">
    <w:name w:val="Small Text"/>
    <w:basedOn w:val="Normal"/>
    <w:qFormat/>
    <w:rsid w:val="00D916A4"/>
    <w:pPr>
      <w:keepNext/>
      <w:keepLines/>
      <w:spacing w:before="0" w:after="0"/>
    </w:pPr>
    <w:rPr>
      <w:rFonts w:ascii="Tahoma" w:eastAsia="Times New Roman" w:hAnsi="Tahoma"/>
      <w:kern w:val="0"/>
      <w:sz w:val="16"/>
      <w:szCs w:val="20"/>
      <w14:ligatures w14:val="none"/>
    </w:rPr>
  </w:style>
  <w:style w:type="paragraph" w:customStyle="1" w:styleId="WhiteCentredHeading">
    <w:name w:val="White Centred Heading"/>
    <w:basedOn w:val="Heading1"/>
    <w:qFormat/>
    <w:rsid w:val="00D916A4"/>
    <w:pPr>
      <w:jc w:val="center"/>
    </w:pPr>
    <w:rPr>
      <w:rFonts w:eastAsia="Times New Roman"/>
      <w:bCs w:val="0"/>
      <w:color w:val="FFFFFF" w:themeColor="background1"/>
      <w:kern w:val="0"/>
      <w:sz w:val="24"/>
      <w:szCs w:val="20"/>
      <w14:ligatures w14:val="none"/>
    </w:rPr>
  </w:style>
  <w:style w:type="paragraph" w:styleId="List">
    <w:name w:val="List"/>
    <w:basedOn w:val="Normal"/>
    <w:uiPriority w:val="99"/>
    <w:semiHidden/>
    <w:unhideWhenUsed/>
    <w:rsid w:val="00D916A4"/>
    <w:pPr>
      <w:ind w:left="283" w:hanging="283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8F3E52"/>
    <w:pPr>
      <w:keepLines/>
      <w:spacing w:line="259" w:lineRule="auto"/>
      <w:jc w:val="center"/>
      <w:outlineLvl w:val="9"/>
    </w:pPr>
    <w:rPr>
      <w:rFonts w:asciiTheme="majorHAnsi" w:eastAsiaTheme="majorEastAsia" w:hAnsiTheme="majorHAnsi" w:cstheme="majorBidi"/>
      <w:bCs w:val="0"/>
      <w:kern w:val="0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4F165C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4F165C"/>
    <w:rPr>
      <w:color w:val="467886" w:themeColor="hyperlink"/>
      <w:u w:val="single"/>
    </w:rPr>
  </w:style>
  <w:style w:type="paragraph" w:customStyle="1" w:styleId="Title-TOCExcluded">
    <w:name w:val="Title - TOC Excluded"/>
    <w:link w:val="Title-TOCExcludedChar"/>
    <w:qFormat/>
    <w:rsid w:val="00B911E4"/>
    <w:pPr>
      <w:jc w:val="center"/>
    </w:pPr>
    <w:rPr>
      <w:rFonts w:ascii="Times New Roman" w:hAnsi="Times New Roman" w:cs="Times New Roman"/>
      <w:b/>
      <w:bCs/>
      <w:sz w:val="48"/>
      <w:szCs w:val="48"/>
    </w:rPr>
  </w:style>
  <w:style w:type="character" w:customStyle="1" w:styleId="Title-TOCExcludedChar">
    <w:name w:val="Title - TOC Excluded Char"/>
    <w:basedOn w:val="DefaultParagraphFont"/>
    <w:link w:val="Title-TOCExcluded"/>
    <w:rsid w:val="00B911E4"/>
    <w:rPr>
      <w:rFonts w:ascii="Times New Roman" w:hAnsi="Times New Roman" w:cs="Times New Roman"/>
      <w:b/>
      <w:bCs/>
      <w:sz w:val="48"/>
      <w:szCs w:val="48"/>
    </w:rPr>
  </w:style>
  <w:style w:type="paragraph" w:customStyle="1" w:styleId="ChapterTitle">
    <w:name w:val="Chapter Title"/>
    <w:basedOn w:val="Heading1"/>
    <w:next w:val="Normal"/>
    <w:link w:val="ChapterTitleChar"/>
    <w:qFormat/>
    <w:rsid w:val="00C87216"/>
    <w:pPr>
      <w:spacing w:before="240"/>
    </w:pPr>
    <w:rPr>
      <w:bCs w:val="0"/>
    </w:rPr>
  </w:style>
  <w:style w:type="character" w:customStyle="1" w:styleId="ChapterTitleChar">
    <w:name w:val="Chapter Title Char"/>
    <w:basedOn w:val="DefaultParagraphFont"/>
    <w:link w:val="ChapterTitle"/>
    <w:rsid w:val="00C87216"/>
    <w:rPr>
      <w:rFonts w:ascii="Times New Roman" w:hAnsi="Times New Roman" w:cs="Times New Roman"/>
      <w:b/>
      <w:sz w:val="32"/>
      <w:szCs w:val="32"/>
    </w:rPr>
  </w:style>
  <w:style w:type="character" w:styleId="Strong">
    <w:name w:val="Strong"/>
    <w:basedOn w:val="DefaultParagraphFont"/>
    <w:uiPriority w:val="22"/>
    <w:qFormat/>
    <w:rsid w:val="00506D7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hyperlink" Target="https://training.gov.au/training/details/AMP" TargetMode="External" /><Relationship Id="rId14" Type="http://schemas.openxmlformats.org/officeDocument/2006/relationships/header" Target="header5.xml" /><Relationship Id="rId15" Type="http://schemas.openxmlformats.org/officeDocument/2006/relationships/header" Target="header6.xml" /><Relationship Id="rId16" Type="http://schemas.openxmlformats.org/officeDocument/2006/relationships/footer" Target="footer5.xml" /><Relationship Id="rId17" Type="http://schemas.openxmlformats.org/officeDocument/2006/relationships/footer" Target="footer6.xml" /><Relationship Id="rId18" Type="http://schemas.openxmlformats.org/officeDocument/2006/relationships/header" Target="header7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theme" Target="theme/theme1.xml" /><Relationship Id="rId21" Type="http://schemas.openxmlformats.org/officeDocument/2006/relationships/numbering" Target="numbering.xml" /><Relationship Id="rId22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eader" Target="header2.xml" /><Relationship Id="rId8" Type="http://schemas.openxmlformats.org/officeDocument/2006/relationships/header" Target="header3.xml" /><Relationship Id="rId9" Type="http://schemas.openxmlformats.org/officeDocument/2006/relationships/footer" Target="footer2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15D1FD-CC37-42A8-9988-D7D032043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Skills Insight</Company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AMPREN204 Operate meat size reduction equipment</dc:title>
  <dc:subject>Release: 2</dc:subject>
  <dc:creator>Skills Insight</dc:creator>
  <cp:keywords>TPC v2.32.0-beta.1+1965.Branch.releases-2026-07-29-V1.Sha.a6f7f7d63a60b97136644098024a3fe613b14521.a6f7f7d63a60b97136644098024a3fe613b14521</cp:keywords>
  <cp:lastModifiedBy>TPC</cp:lastModifiedBy>
  <cp:revision>9</cp:revision>
  <dcterms:created xsi:type="dcterms:W3CDTF">2026-09-09T22:47:27Z</dcterms:created>
  <dcterms:modified xsi:type="dcterms:W3CDTF">2026-09-09T22:47:27Z</dcterms:modified>
  <cp:contentStatus>Published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9d889eb-932f-4752-8739-64d25806ef64_ActionId">
    <vt:lpwstr>abd97b8f-d1c9-4757-9d6f-2d16a89172d4</vt:lpwstr>
  </property>
  <property fmtid="{D5CDD505-2E9C-101B-9397-08002B2CF9AE}" pid="3" name="MSIP_Label_79d889eb-932f-4752-8739-64d25806ef64_ContentBits">
    <vt:lpwstr>0</vt:lpwstr>
  </property>
  <property fmtid="{D5CDD505-2E9C-101B-9397-08002B2CF9AE}" pid="4" name="MSIP_Label_79d889eb-932f-4752-8739-64d25806ef64_Enabled">
    <vt:lpwstr>true</vt:lpwstr>
  </property>
  <property fmtid="{D5CDD505-2E9C-101B-9397-08002B2CF9AE}" pid="5" name="MSIP_Label_79d889eb-932f-4752-8739-64d25806ef64_Method">
    <vt:lpwstr>Privileged</vt:lpwstr>
  </property>
  <property fmtid="{D5CDD505-2E9C-101B-9397-08002B2CF9AE}" pid="6" name="MSIP_Label_79d889eb-932f-4752-8739-64d25806ef64_Name">
    <vt:lpwstr>79d889eb-932f-4752-8739-64d25806ef64</vt:lpwstr>
  </property>
  <property fmtid="{D5CDD505-2E9C-101B-9397-08002B2CF9AE}" pid="7" name="MSIP_Label_79d889eb-932f-4752-8739-64d25806ef64_SetDate">
    <vt:lpwstr>2024-11-13T03:44:06Z</vt:lpwstr>
  </property>
  <property fmtid="{D5CDD505-2E9C-101B-9397-08002B2CF9AE}" pid="8" name="MSIP_Label_79d889eb-932f-4752-8739-64d25806ef64_SiteId">
    <vt:lpwstr>dd0cfd15-4558-4b12-8bad-ea26984fc417</vt:lpwstr>
  </property>
  <property fmtid="{D5CDD505-2E9C-101B-9397-08002B2CF9AE}" pid="9" name="MSIP_Label_8b160e8f-e4bd-494f-8ddf-e78e1834eb0e_ActionId">
    <vt:lpwstr>5670ec57-b4f4-4914-985d-2cf22212a888</vt:lpwstr>
  </property>
  <property fmtid="{D5CDD505-2E9C-101B-9397-08002B2CF9AE}" pid="10" name="MSIP_Label_8b160e8f-e4bd-494f-8ddf-e78e1834eb0e_ContentBits">
    <vt:lpwstr>0</vt:lpwstr>
  </property>
  <property fmtid="{D5CDD505-2E9C-101B-9397-08002B2CF9AE}" pid="11" name="MSIP_Label_8b160e8f-e4bd-494f-8ddf-e78e1834eb0e_Enabled">
    <vt:lpwstr>true</vt:lpwstr>
  </property>
  <property fmtid="{D5CDD505-2E9C-101B-9397-08002B2CF9AE}" pid="12" name="MSIP_Label_8b160e8f-e4bd-494f-8ddf-e78e1834eb0e_Method">
    <vt:lpwstr>Privileged</vt:lpwstr>
  </property>
  <property fmtid="{D5CDD505-2E9C-101B-9397-08002B2CF9AE}" pid="13" name="MSIP_Label_8b160e8f-e4bd-494f-8ddf-e78e1834eb0e_Name">
    <vt:lpwstr>General</vt:lpwstr>
  </property>
  <property fmtid="{D5CDD505-2E9C-101B-9397-08002B2CF9AE}" pid="14" name="MSIP_Label_8b160e8f-e4bd-494f-8ddf-e78e1834eb0e_SetDate">
    <vt:lpwstr>2024-11-28T04:30:51Z</vt:lpwstr>
  </property>
  <property fmtid="{D5CDD505-2E9C-101B-9397-08002B2CF9AE}" pid="15" name="MSIP_Label_8b160e8f-e4bd-494f-8ddf-e78e1834eb0e_SiteId">
    <vt:lpwstr>ff8a34aa-31fe-4a22-9c22-29e2af4a065d</vt:lpwstr>
  </property>
</Properties>
</file>