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F32" w:rsidP="00904F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AMPR321 Collect and prepare standard samples</w:t>
      </w:r>
      <w:r>
        <w:fldChar w:fldCharType="end"/>
      </w:r>
    </w:p>
    <w:p w:rsidR="00904F32" w:rsidP="00904F32">
      <w:pPr>
        <w:pStyle w:val="Version"/>
        <w:sectPr w:rsidSect="005C2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F35" w:rsidP="005C2F35">
      <w:pPr>
        <w:pStyle w:val="SuperHeading"/>
      </w:pPr>
      <w:r w:rsidRPr="005C2F35">
        <w:t>AMPR321 Collect and prepare standard samples</w:t>
      </w:r>
    </w:p>
    <w:p w:rsidR="00000000" w:rsidRPr="005C2F35" w:rsidP="005C2F35">
      <w:pPr>
        <w:pStyle w:val="Heading1"/>
      </w:pPr>
      <w:bookmarkStart w:id="1" w:name="O_735431"/>
      <w:bookmarkEnd w:id="1"/>
      <w:r w:rsidRPr="005C2F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C2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TableHeading"/>
              <w:rPr>
                <w:lang w:val="en-NZ"/>
              </w:rPr>
            </w:pPr>
            <w:r w:rsidRPr="005C2F3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TableHeading"/>
              <w:rPr>
                <w:lang w:val="en-NZ"/>
              </w:rPr>
            </w:pPr>
            <w:r w:rsidRPr="005C2F3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TableHeading"/>
              <w:rPr>
                <w:lang w:val="en-NZ"/>
              </w:rPr>
            </w:pPr>
            <w:r w:rsidRPr="005C2F35">
              <w:t>Comment</w:t>
            </w:r>
          </w:p>
        </w:tc>
      </w:tr>
      <w:tr w:rsidTr="005C2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BodyText"/>
              <w:rPr>
                <w:lang w:val="en-NZ"/>
              </w:rPr>
            </w:pPr>
            <w:r w:rsidRPr="005C2F3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BodyText"/>
              <w:rPr>
                <w:lang w:val="en-NZ"/>
              </w:rPr>
            </w:pPr>
            <w:r w:rsidRPr="005C2F35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35" w:rsidP="005C2F35">
            <w:pPr>
              <w:pStyle w:val="BodyText"/>
            </w:pPr>
            <w:r w:rsidRPr="005C2F35">
              <w:t>Initial release</w:t>
            </w:r>
          </w:p>
        </w:tc>
      </w:tr>
    </w:tbl>
    <w:p w:rsidR="00000000" w:rsidRPr="005C2F35" w:rsidP="005C2F35">
      <w:pPr>
        <w:pStyle w:val="BodyText"/>
      </w:pPr>
    </w:p>
    <w:p w:rsidR="00000000" w:rsidRPr="005C2F35" w:rsidP="005C2F35">
      <w:pPr>
        <w:pStyle w:val="AllowPageBreak"/>
      </w:pPr>
    </w:p>
    <w:p w:rsidR="00000000" w:rsidRPr="005C2F35" w:rsidP="005C2F35">
      <w:pPr>
        <w:pStyle w:val="Heading1"/>
      </w:pPr>
      <w:bookmarkStart w:id="2" w:name="O_735432"/>
      <w:bookmarkEnd w:id="2"/>
      <w:r w:rsidRPr="005C2F35">
        <w:t>Application</w:t>
      </w:r>
    </w:p>
    <w:p w:rsidR="00000000" w:rsidRPr="005C2F35" w:rsidP="00904F32">
      <w:pPr>
        <w:pStyle w:val="BodyText"/>
      </w:pPr>
      <w:r w:rsidRPr="005C2F35">
        <w:t xml:space="preserve">This unit describes the skills and knowledge required to collect and prepare standard samples. </w:t>
      </w:r>
    </w:p>
    <w:p w:rsidR="00000000" w:rsidRPr="005C2F35" w:rsidP="00904F32">
      <w:pPr>
        <w:pStyle w:val="BodyText"/>
      </w:pPr>
      <w:r w:rsidRPr="005C2F35">
        <w:t>This unit is applicable to workers in the meat industry who are required to collect samples for testing.</w:t>
      </w:r>
    </w:p>
    <w:p w:rsidR="00000000" w:rsidRPr="005C2F35" w:rsidP="00904F32">
      <w:pPr>
        <w:pStyle w:val="BodyText"/>
      </w:pPr>
      <w:r w:rsidRPr="005C2F35">
        <w:t>All training must be conducted in accordance with Australian meat industry standards and regulations.</w:t>
      </w:r>
    </w:p>
    <w:p w:rsidR="00000000" w:rsidRPr="005C2F35" w:rsidP="00904F32">
      <w:pPr>
        <w:pStyle w:val="BodyText"/>
      </w:pPr>
      <w:r w:rsidRPr="005C2F35">
        <w:t>All work must be carried out in accordance with</w:t>
      </w:r>
      <w:r w:rsidRPr="005C2F35">
        <w:t xml:space="preserve"> workplace requirements, regulatory requirements and hygiene standards. </w:t>
      </w:r>
    </w:p>
    <w:p w:rsidR="00000000" w:rsidRPr="005C2F35" w:rsidP="00904F32">
      <w:pPr>
        <w:pStyle w:val="BodyText"/>
      </w:pPr>
      <w:r w:rsidRPr="005C2F35">
        <w:t>This unit applies to individuals who work under broad direction and take responsibility for their own work.</w:t>
      </w:r>
    </w:p>
    <w:p w:rsidR="00000000" w:rsidRPr="005C2F35" w:rsidP="00904F32">
      <w:pPr>
        <w:pStyle w:val="BodyText"/>
      </w:pPr>
      <w:r w:rsidRPr="005C2F35">
        <w:t xml:space="preserve">No occupational licensing, legislative or certification requirements are </w:t>
      </w:r>
      <w:r w:rsidRPr="005C2F35">
        <w:t>known to apply to this unit at the time of publication.</w:t>
      </w:r>
    </w:p>
    <w:p w:rsidR="00000000" w:rsidRPr="005C2F35" w:rsidP="005C2F35">
      <w:pPr>
        <w:pStyle w:val="Heading1"/>
      </w:pPr>
      <w:bookmarkStart w:id="3" w:name="O_735433"/>
      <w:bookmarkEnd w:id="3"/>
      <w:r w:rsidRPr="005C2F35">
        <w:t>Pre-requisite Unit</w:t>
      </w:r>
    </w:p>
    <w:p w:rsidR="00000000" w:rsidRPr="005C2F35" w:rsidP="00904F32">
      <w:pPr>
        <w:pStyle w:val="BodyText"/>
      </w:pPr>
      <w:r w:rsidRPr="005C2F35">
        <w:t>Nil.</w:t>
      </w:r>
    </w:p>
    <w:p w:rsidR="00000000" w:rsidRPr="005C2F35" w:rsidP="005C2F35">
      <w:pPr>
        <w:pStyle w:val="Heading1"/>
      </w:pPr>
      <w:bookmarkStart w:id="4" w:name="O_735435"/>
      <w:bookmarkEnd w:id="4"/>
      <w:r w:rsidRPr="005C2F35">
        <w:t>Unit Sector</w:t>
      </w:r>
    </w:p>
    <w:p w:rsidR="00000000" w:rsidRPr="005C2F35" w:rsidP="005C2F35">
      <w:pPr>
        <w:pStyle w:val="Heading1"/>
      </w:pPr>
      <w:bookmarkStart w:id="5" w:name="O_735436"/>
      <w:bookmarkEnd w:id="5"/>
      <w:r w:rsidRPr="005C2F35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904F3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TableHeading"/>
              <w:rPr>
                <w:lang w:val="en-NZ"/>
              </w:rPr>
            </w:pPr>
            <w:r w:rsidRPr="005C2F35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TableHeading"/>
              <w:rPr>
                <w:lang w:val="en-NZ"/>
              </w:rPr>
            </w:pPr>
            <w:r w:rsidRPr="005C2F35">
              <w:t>Performance criteria</w:t>
            </w:r>
          </w:p>
        </w:tc>
      </w:tr>
      <w:tr w:rsidTr="00904F3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BodyText"/>
              <w:rPr>
                <w:lang w:val="en-NZ"/>
              </w:rPr>
            </w:pPr>
            <w:r w:rsidRPr="005C2F35">
              <w:t xml:space="preserve">Elements describe the </w:t>
            </w:r>
            <w:r w:rsidRPr="005C2F35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BodyText"/>
              <w:rPr>
                <w:lang w:val="en-NZ"/>
              </w:rPr>
            </w:pPr>
            <w:r w:rsidRPr="005C2F35">
              <w:t xml:space="preserve">Performance criteria describe the performance needed to demonstrate </w:t>
            </w:r>
            <w:r w:rsidRPr="005C2F35">
              <w:t>achievement of the element.</w:t>
            </w:r>
          </w:p>
        </w:tc>
      </w:tr>
      <w:tr w:rsidTr="00904F3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List"/>
              <w:rPr>
                <w:lang w:val="en-NZ"/>
              </w:rPr>
            </w:pPr>
            <w:r w:rsidRPr="005C2F35">
              <w:t>1.</w:t>
            </w:r>
            <w:r w:rsidRPr="005C2F35">
              <w:tab/>
              <w:t>Receive, handle and store samples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35" w:rsidP="005C2F35">
            <w:pPr>
              <w:pStyle w:val="List"/>
            </w:pPr>
            <w:r w:rsidRPr="005C2F35">
              <w:t>1.1</w:t>
            </w:r>
            <w:r w:rsidRPr="005C2F35">
              <w:tab/>
              <w:t>Register samples upon receipt in accordance with quality and workplace procedures</w:t>
            </w:r>
          </w:p>
          <w:p w:rsidR="00000000" w:rsidRPr="005C2F35" w:rsidP="005C2F35">
            <w:pPr>
              <w:pStyle w:val="List"/>
            </w:pPr>
            <w:r w:rsidRPr="005C2F35">
              <w:t>1.2</w:t>
            </w:r>
            <w:r w:rsidRPr="005C2F35">
              <w:tab/>
              <w:t>Check labelling and history of s</w:t>
            </w:r>
            <w:r w:rsidRPr="005C2F35">
              <w:t>ampling in accordance with laboratory procedures</w:t>
            </w:r>
          </w:p>
          <w:p w:rsidR="00000000" w:rsidRPr="005C2F35" w:rsidP="005C2F35">
            <w:pPr>
              <w:pStyle w:val="List"/>
            </w:pPr>
            <w:r w:rsidRPr="005C2F35">
              <w:t>1.3</w:t>
            </w:r>
            <w:r w:rsidRPr="005C2F35">
              <w:tab/>
              <w:t>Record sample information and cross-reference with current or previous test data according to workplace requirements</w:t>
            </w:r>
          </w:p>
          <w:p w:rsidR="00000000" w:rsidRPr="005C2F35" w:rsidP="005C2F35">
            <w:pPr>
              <w:pStyle w:val="List"/>
            </w:pPr>
            <w:r w:rsidRPr="005C2F35">
              <w:t>1.4</w:t>
            </w:r>
            <w:r w:rsidRPr="005C2F35">
              <w:tab/>
              <w:t>Observe universal precautions and relevant legislative requirements during the han</w:t>
            </w:r>
            <w:r w:rsidRPr="005C2F35">
              <w:t>dling and storage of all samples</w:t>
            </w:r>
          </w:p>
          <w:p w:rsidR="00000000" w:rsidRPr="005C2F35" w:rsidP="005C2F35">
            <w:pPr>
              <w:pStyle w:val="List"/>
            </w:pPr>
            <w:r w:rsidRPr="005C2F35">
              <w:t>1.5</w:t>
            </w:r>
            <w:r w:rsidRPr="005C2F35">
              <w:tab/>
              <w:t>Record samples requiring analysis by external laboratories and forward following workplace procedures</w:t>
            </w:r>
          </w:p>
          <w:p w:rsidR="00000000" w:rsidP="005C2F35">
            <w:pPr>
              <w:pStyle w:val="List"/>
              <w:rPr>
                <w:lang w:val="en-NZ"/>
              </w:rPr>
            </w:pPr>
            <w:r w:rsidRPr="005C2F35">
              <w:t>1.6</w:t>
            </w:r>
            <w:r w:rsidRPr="005C2F35">
              <w:tab/>
              <w:t>Dispose of unwanted samples in accordance with workplace and hygiene standards</w:t>
            </w:r>
          </w:p>
        </w:tc>
      </w:tr>
      <w:tr w:rsidTr="00904F3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List"/>
              <w:rPr>
                <w:lang w:val="en-NZ"/>
              </w:rPr>
            </w:pPr>
            <w:r w:rsidRPr="005C2F35">
              <w:t>2.</w:t>
            </w:r>
            <w:r w:rsidRPr="005C2F35">
              <w:tab/>
              <w:t>Prepare for sample collection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35" w:rsidP="005C2F35">
            <w:pPr>
              <w:pStyle w:val="List"/>
            </w:pPr>
            <w:r w:rsidRPr="005C2F35">
              <w:t>2.1</w:t>
            </w:r>
            <w:r w:rsidRPr="005C2F35">
              <w:tab/>
              <w:t>Confirm type of sample required prior to collection</w:t>
            </w:r>
          </w:p>
          <w:p w:rsidR="00000000" w:rsidRPr="005C2F35" w:rsidP="005C2F35">
            <w:pPr>
              <w:pStyle w:val="List"/>
            </w:pPr>
            <w:r w:rsidRPr="005C2F35">
              <w:t>2.2</w:t>
            </w:r>
            <w:r w:rsidRPr="005C2F35">
              <w:tab/>
              <w:t>Follow prescribed procedures to ensure representative sampling and record details to workplace requirements</w:t>
            </w:r>
          </w:p>
          <w:p w:rsidR="00000000" w:rsidP="005C2F35">
            <w:pPr>
              <w:pStyle w:val="List"/>
              <w:rPr>
                <w:lang w:val="en-NZ"/>
              </w:rPr>
            </w:pPr>
            <w:r w:rsidRPr="005C2F35">
              <w:t>2.3</w:t>
            </w:r>
            <w:r w:rsidRPr="005C2F35">
              <w:tab/>
              <w:t>Prepare or assemble appropriate sampling equipment to safety and workplace requireme</w:t>
            </w:r>
            <w:r w:rsidRPr="005C2F35">
              <w:t>nts</w:t>
            </w:r>
          </w:p>
        </w:tc>
      </w:tr>
      <w:tr w:rsidTr="00904F3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List"/>
              <w:rPr>
                <w:lang w:val="en-NZ"/>
              </w:rPr>
            </w:pPr>
            <w:r w:rsidRPr="005C2F35">
              <w:t>3.</w:t>
            </w:r>
            <w:r w:rsidRPr="005C2F35">
              <w:tab/>
              <w:t>Perform sample collection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35" w:rsidP="005C2F35">
            <w:pPr>
              <w:pStyle w:val="List"/>
            </w:pPr>
            <w:r w:rsidRPr="005C2F35">
              <w:t>3.1</w:t>
            </w:r>
            <w:r w:rsidRPr="005C2F35">
              <w:tab/>
              <w:t>Collect gross samples in accordance with workplace procedures</w:t>
            </w:r>
          </w:p>
          <w:p w:rsidR="00000000" w:rsidRPr="005C2F35" w:rsidP="005C2F35">
            <w:pPr>
              <w:pStyle w:val="List"/>
            </w:pPr>
            <w:r w:rsidRPr="005C2F35">
              <w:t>3.2</w:t>
            </w:r>
            <w:r w:rsidRPr="005C2F35">
              <w:tab/>
              <w:t>Preserve sample integrity throughout all aspects of sampling</w:t>
            </w:r>
          </w:p>
          <w:p w:rsidR="00000000" w:rsidRPr="005C2F35" w:rsidP="005C2F35">
            <w:pPr>
              <w:pStyle w:val="List"/>
            </w:pPr>
            <w:r w:rsidRPr="005C2F35">
              <w:t>3.3</w:t>
            </w:r>
            <w:r w:rsidRPr="005C2F35">
              <w:tab/>
              <w:t>Place samples in suitable containers and label to clearly identify sample type, locatio</w:t>
            </w:r>
            <w:r w:rsidRPr="005C2F35">
              <w:t>n, date and any other workplace-specific information</w:t>
            </w:r>
          </w:p>
          <w:p w:rsidR="00000000" w:rsidRPr="005C2F35" w:rsidP="005C2F35">
            <w:pPr>
              <w:pStyle w:val="List"/>
            </w:pPr>
            <w:r w:rsidRPr="005C2F35">
              <w:t>3.4</w:t>
            </w:r>
            <w:r w:rsidRPr="005C2F35">
              <w:tab/>
              <w:t>Store, preserve and transport samples in accordance with relevant regulations and laboratory procedures</w:t>
            </w:r>
          </w:p>
          <w:p w:rsidR="00000000" w:rsidRPr="005C2F35" w:rsidP="005C2F35">
            <w:pPr>
              <w:pStyle w:val="List"/>
            </w:pPr>
            <w:r w:rsidRPr="005C2F35">
              <w:t>3.5</w:t>
            </w:r>
            <w:r w:rsidRPr="005C2F35">
              <w:tab/>
              <w:t>Maintained sampling equipment in clean, safe and sterile working order</w:t>
            </w:r>
          </w:p>
          <w:p w:rsidR="00000000" w:rsidP="005C2F35">
            <w:pPr>
              <w:pStyle w:val="List"/>
              <w:rPr>
                <w:lang w:val="en-NZ"/>
              </w:rPr>
            </w:pPr>
            <w:r w:rsidRPr="005C2F35">
              <w:t>3.6</w:t>
            </w:r>
            <w:r w:rsidRPr="005C2F35">
              <w:tab/>
              <w:t>Recognised and r</w:t>
            </w:r>
            <w:r w:rsidRPr="005C2F35">
              <w:t>eport unusual or non-standard observations made during sampling</w:t>
            </w:r>
          </w:p>
        </w:tc>
      </w:tr>
      <w:tr w:rsidTr="00904F3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List"/>
              <w:rPr>
                <w:lang w:val="en-NZ"/>
              </w:rPr>
            </w:pPr>
            <w:r w:rsidRPr="005C2F35">
              <w:t>4.</w:t>
            </w:r>
            <w:r w:rsidRPr="005C2F35">
              <w:tab/>
              <w:t>Perform standard chemical or biological sample preparation (where applicable)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35" w:rsidP="005C2F35">
            <w:pPr>
              <w:pStyle w:val="List"/>
            </w:pPr>
            <w:r w:rsidRPr="005C2F35">
              <w:t>4.1</w:t>
            </w:r>
            <w:r w:rsidRPr="005C2F35">
              <w:tab/>
              <w:t>Prepared samples and controls for analysis</w:t>
            </w:r>
          </w:p>
          <w:p w:rsidR="00000000" w:rsidRPr="005C2F35" w:rsidP="005C2F35">
            <w:pPr>
              <w:pStyle w:val="List"/>
            </w:pPr>
            <w:r w:rsidRPr="005C2F35">
              <w:t>4.2</w:t>
            </w:r>
            <w:r w:rsidRPr="005C2F35">
              <w:tab/>
              <w:t>Take action to minimise loss of analyses from sample</w:t>
            </w:r>
          </w:p>
          <w:p w:rsidR="00000000" w:rsidRPr="005C2F35" w:rsidP="005C2F35">
            <w:pPr>
              <w:pStyle w:val="List"/>
            </w:pPr>
            <w:r w:rsidRPr="005C2F35">
              <w:t>4.3</w:t>
            </w:r>
            <w:r w:rsidRPr="005C2F35">
              <w:tab/>
              <w:t>Us</w:t>
            </w:r>
            <w:r w:rsidRPr="005C2F35">
              <w:t>e separation equipment to provide the required sample fractions</w:t>
            </w:r>
          </w:p>
        </w:tc>
      </w:tr>
    </w:tbl>
    <w:p w:rsidR="00000000" w:rsidRPr="005C2F35" w:rsidP="005C2F35">
      <w:pPr>
        <w:pStyle w:val="BodyText"/>
      </w:pPr>
    </w:p>
    <w:p w:rsidR="00000000" w:rsidRPr="005C2F35" w:rsidP="005C2F35">
      <w:pPr>
        <w:pStyle w:val="AllowPageBreak"/>
      </w:pPr>
    </w:p>
    <w:p w:rsidR="00000000" w:rsidRPr="005C2F35" w:rsidP="005C2F35">
      <w:pPr>
        <w:pStyle w:val="Heading1"/>
      </w:pPr>
      <w:bookmarkStart w:id="6" w:name="O_735437"/>
      <w:bookmarkEnd w:id="6"/>
      <w:r w:rsidRPr="005C2F35">
        <w:t>Foundation Skills</w:t>
      </w:r>
    </w:p>
    <w:p w:rsidR="00000000" w:rsidRPr="005C2F35" w:rsidP="00904F32">
      <w:pPr>
        <w:pStyle w:val="BodyText"/>
      </w:pPr>
      <w:r w:rsidRPr="005C2F35">
        <w:t>Foundation Skills essential to performance are explicit in the performance criteria of this unit of competency.</w:t>
      </w:r>
    </w:p>
    <w:p w:rsidR="00000000" w:rsidRPr="005C2F35" w:rsidP="005C2F35">
      <w:pPr>
        <w:pStyle w:val="Heading1"/>
      </w:pPr>
      <w:bookmarkStart w:id="7" w:name="O_735438"/>
      <w:bookmarkEnd w:id="7"/>
      <w:r w:rsidRPr="005C2F35">
        <w:t>Range of Conditions</w:t>
      </w:r>
    </w:p>
    <w:p w:rsidR="00000000" w:rsidRPr="005C2F35" w:rsidP="005C2F35">
      <w:pPr>
        <w:pStyle w:val="Heading1"/>
      </w:pPr>
      <w:bookmarkStart w:id="8" w:name="O_735439"/>
      <w:bookmarkEnd w:id="8"/>
      <w:r w:rsidRPr="005C2F35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904F32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35">
            <w:pPr>
              <w:pStyle w:val="BodyText"/>
              <w:rPr>
                <w:lang w:val="en-NZ"/>
              </w:rPr>
            </w:pPr>
            <w:r w:rsidRPr="005C2F35">
              <w:t>MTMR322A Collect and prepare standard samples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35" w:rsidP="005C2F35">
            <w:pPr>
              <w:pStyle w:val="BodyText"/>
            </w:pPr>
            <w:r w:rsidRPr="005C2F35">
              <w:t>E</w:t>
            </w:r>
          </w:p>
        </w:tc>
      </w:tr>
    </w:tbl>
    <w:p w:rsidR="00000000" w:rsidRPr="005C2F35" w:rsidP="005C2F35">
      <w:pPr>
        <w:pStyle w:val="BodyText"/>
      </w:pPr>
    </w:p>
    <w:p w:rsidR="00000000" w:rsidRPr="005C2F35" w:rsidP="005C2F35">
      <w:pPr>
        <w:pStyle w:val="AllowPageBreak"/>
      </w:pPr>
    </w:p>
    <w:p w:rsidR="00000000" w:rsidRPr="005C2F35" w:rsidP="005C2F35">
      <w:pPr>
        <w:pStyle w:val="Heading1"/>
      </w:pPr>
      <w:bookmarkStart w:id="9" w:name="O_735446"/>
      <w:bookmarkEnd w:id="9"/>
      <w:r w:rsidRPr="005C2F35">
        <w:t>Links</w:t>
      </w:r>
    </w:p>
    <w:p w:rsidR="00000000" w:rsidRPr="005C2F35" w:rsidP="00904F32">
      <w:pPr>
        <w:pStyle w:val="BodyText"/>
      </w:pPr>
      <w:r w:rsidRPr="005C2F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0DF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C2F35" w:rsidP="005C2F35"/>
    <w:sectPr w:rsidSect="005C2F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35" w:rsidRPr="00904F32" w:rsidP="00904F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F32" w:rsidP="005C2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F32" w:rsidP="005C2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4F32" w:rsidP="005C2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F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F35" w:rsidRPr="00904F32" w:rsidP="00904F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F32" w:rsidRPr="002D2AF8" w:rsidP="005C2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AMPR321 Collect and prepare standard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04F32" w:rsidP="005C2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F35"/>
  </w:style>
  <w:style w:type="character" w:customStyle="1" w:styleId="Heading1Char">
    <w:name w:val="Heading 1 Char"/>
    <w:basedOn w:val="DefaultParagraphFont"/>
    <w:link w:val="Heading1"/>
    <w:rsid w:val="005C2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F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2F3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C2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C2F3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C2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F3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C2F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2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F35"/>
    <w:rPr>
      <w:b/>
      <w:spacing w:val="0"/>
    </w:rPr>
  </w:style>
  <w:style w:type="paragraph" w:customStyle="1" w:styleId="SuperTitle">
    <w:name w:val="SuperTitle"/>
    <w:basedOn w:val="Title"/>
    <w:rsid w:val="005C2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F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F35"/>
    <w:rPr>
      <w:i/>
    </w:rPr>
  </w:style>
  <w:style w:type="paragraph" w:styleId="Caption">
    <w:name w:val="caption"/>
    <w:basedOn w:val="BodyText"/>
    <w:next w:val="Normal"/>
    <w:qFormat/>
    <w:rsid w:val="005C2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F35"/>
  </w:style>
  <w:style w:type="paragraph" w:styleId="TableofFigures">
    <w:name w:val="table of figures"/>
    <w:basedOn w:val="Normal"/>
    <w:next w:val="Normal"/>
    <w:semiHidden/>
    <w:rsid w:val="005C2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F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2F35"/>
    <w:rPr>
      <w:rFonts w:ascii="Wingdings" w:hAnsi="Wingdings"/>
    </w:rPr>
  </w:style>
  <w:style w:type="character" w:customStyle="1" w:styleId="HotSpot">
    <w:name w:val="HotSpot"/>
    <w:rsid w:val="005C2F35"/>
    <w:rPr>
      <w:color w:val="0033CC"/>
      <w:u w:val="none"/>
    </w:rPr>
  </w:style>
  <w:style w:type="paragraph" w:customStyle="1" w:styleId="BodyTextRight">
    <w:name w:val="Body Text Right"/>
    <w:basedOn w:val="BodyText"/>
    <w:rsid w:val="005C2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F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F35"/>
    <w:rPr>
      <w:sz w:val="32"/>
    </w:rPr>
  </w:style>
  <w:style w:type="paragraph" w:customStyle="1" w:styleId="HeadingProcedure">
    <w:name w:val="Heading Procedure"/>
    <w:basedOn w:val="HeadingBase"/>
    <w:next w:val="Normal"/>
    <w:rsid w:val="005C2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F35"/>
    <w:pPr>
      <w:spacing w:before="60" w:after="60"/>
    </w:pPr>
  </w:style>
  <w:style w:type="paragraph" w:styleId="ListContinue">
    <w:name w:val="List Continue"/>
    <w:basedOn w:val="List"/>
    <w:rsid w:val="005C2F35"/>
    <w:pPr>
      <w:ind w:firstLine="0"/>
    </w:pPr>
  </w:style>
  <w:style w:type="paragraph" w:customStyle="1" w:styleId="ListNote">
    <w:name w:val="List Note"/>
    <w:basedOn w:val="List"/>
    <w:rsid w:val="005C2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F35"/>
    <w:rPr>
      <w:rFonts w:ascii="Courier New" w:hAnsi="Courier New"/>
    </w:rPr>
  </w:style>
  <w:style w:type="paragraph" w:customStyle="1" w:styleId="NoteBullet">
    <w:name w:val="Note Bullet"/>
    <w:basedOn w:val="Note"/>
    <w:rsid w:val="005C2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F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2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F35"/>
    <w:rPr>
      <w:b/>
      <w:smallCaps/>
    </w:rPr>
  </w:style>
  <w:style w:type="paragraph" w:customStyle="1" w:styleId="TableListNumber">
    <w:name w:val="Table List Number"/>
    <w:basedOn w:val="ListNumber"/>
    <w:rsid w:val="005C2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F35"/>
    <w:pPr>
      <w:numPr>
        <w:numId w:val="7"/>
      </w:numPr>
    </w:pPr>
  </w:style>
  <w:style w:type="paragraph" w:customStyle="1" w:styleId="ListAlpha2">
    <w:name w:val="List Alpha 2"/>
    <w:basedOn w:val="List2"/>
    <w:rsid w:val="005C2F35"/>
    <w:pPr>
      <w:numPr>
        <w:numId w:val="6"/>
      </w:numPr>
    </w:pPr>
  </w:style>
  <w:style w:type="paragraph" w:styleId="List2">
    <w:name w:val="List 2"/>
    <w:basedOn w:val="BodyText"/>
    <w:rsid w:val="005C2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F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F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2F35"/>
    <w:pPr>
      <w:numPr>
        <w:numId w:val="2"/>
      </w:numPr>
    </w:pPr>
  </w:style>
  <w:style w:type="paragraph" w:styleId="ListContinue2">
    <w:name w:val="List Continue 2"/>
    <w:basedOn w:val="List2"/>
    <w:rsid w:val="005C2F35"/>
    <w:pPr>
      <w:ind w:firstLine="0"/>
    </w:pPr>
  </w:style>
  <w:style w:type="paragraph" w:styleId="ListContinue3">
    <w:name w:val="List Continue 3"/>
    <w:basedOn w:val="List3"/>
    <w:rsid w:val="005C2F35"/>
    <w:pPr>
      <w:ind w:left="1021" w:firstLine="0"/>
    </w:pPr>
  </w:style>
  <w:style w:type="paragraph" w:styleId="ListContinue4">
    <w:name w:val="List Continue 4"/>
    <w:basedOn w:val="List4"/>
    <w:rsid w:val="005C2F35"/>
    <w:pPr>
      <w:ind w:firstLine="0"/>
    </w:pPr>
  </w:style>
  <w:style w:type="paragraph" w:styleId="ListContinue5">
    <w:name w:val="List Continue 5"/>
    <w:basedOn w:val="List5"/>
    <w:rsid w:val="005C2F35"/>
    <w:pPr>
      <w:ind w:firstLine="0"/>
    </w:pPr>
  </w:style>
  <w:style w:type="paragraph" w:styleId="ListNumber3">
    <w:name w:val="List Number 3"/>
    <w:basedOn w:val="List3"/>
    <w:rsid w:val="005C2F35"/>
    <w:pPr>
      <w:numPr>
        <w:numId w:val="3"/>
      </w:numPr>
    </w:pPr>
  </w:style>
  <w:style w:type="paragraph" w:styleId="ListNumber4">
    <w:name w:val="List Number 4"/>
    <w:basedOn w:val="List4"/>
    <w:rsid w:val="005C2F35"/>
    <w:pPr>
      <w:numPr>
        <w:numId w:val="4"/>
      </w:numPr>
    </w:pPr>
  </w:style>
  <w:style w:type="paragraph" w:styleId="ListNumber5">
    <w:name w:val="List Number 5"/>
    <w:basedOn w:val="List5"/>
    <w:rsid w:val="005C2F35"/>
    <w:pPr>
      <w:numPr>
        <w:numId w:val="5"/>
      </w:numPr>
    </w:pPr>
  </w:style>
  <w:style w:type="paragraph" w:styleId="BlockText">
    <w:name w:val="Block Text"/>
    <w:basedOn w:val="Normal"/>
    <w:rsid w:val="005C2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F35"/>
    <w:rPr>
      <w:sz w:val="16"/>
      <w:vertAlign w:val="superscript"/>
    </w:rPr>
  </w:style>
  <w:style w:type="character" w:customStyle="1" w:styleId="Symbols">
    <w:name w:val="Symbols"/>
    <w:basedOn w:val="DefaultParagraphFont"/>
    <w:rsid w:val="005C2F35"/>
    <w:rPr>
      <w:rFonts w:ascii="Symbol" w:hAnsi="Symbol"/>
    </w:rPr>
  </w:style>
  <w:style w:type="character" w:customStyle="1" w:styleId="MenuOptions">
    <w:name w:val="Menu Options"/>
    <w:basedOn w:val="DefaultParagraphFont"/>
    <w:rsid w:val="005C2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F35"/>
    <w:rPr>
      <w:b/>
    </w:rPr>
  </w:style>
  <w:style w:type="character" w:customStyle="1" w:styleId="Underlined">
    <w:name w:val="Underlined"/>
    <w:basedOn w:val="DefaultParagraphFont"/>
    <w:rsid w:val="005C2F35"/>
    <w:rPr>
      <w:u w:val="single"/>
    </w:rPr>
  </w:style>
  <w:style w:type="paragraph" w:customStyle="1" w:styleId="TableBodyTextRight">
    <w:name w:val="Table Body Text Right"/>
    <w:basedOn w:val="TableBodyText"/>
    <w:rsid w:val="005C2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F35"/>
    <w:rPr>
      <w:sz w:val="18"/>
    </w:rPr>
  </w:style>
  <w:style w:type="paragraph" w:customStyle="1" w:styleId="BodySmallRight">
    <w:name w:val="Body Small Right"/>
    <w:basedOn w:val="BodyTextRight"/>
    <w:rsid w:val="005C2F35"/>
    <w:rPr>
      <w:sz w:val="18"/>
      <w:szCs w:val="18"/>
    </w:rPr>
  </w:style>
  <w:style w:type="paragraph" w:customStyle="1" w:styleId="MarginEdition">
    <w:name w:val="Margin Edition"/>
    <w:basedOn w:val="MarginNote"/>
    <w:rsid w:val="005C2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F35"/>
    <w:rPr>
      <w:sz w:val="2"/>
      <w:szCs w:val="2"/>
    </w:rPr>
  </w:style>
  <w:style w:type="character" w:customStyle="1" w:styleId="Small">
    <w:name w:val="Small"/>
    <w:basedOn w:val="DefaultParagraphFont"/>
    <w:rsid w:val="005C2F35"/>
    <w:rPr>
      <w:sz w:val="16"/>
    </w:rPr>
  </w:style>
  <w:style w:type="paragraph" w:customStyle="1" w:styleId="WideTable">
    <w:name w:val="Wide Table"/>
    <w:basedOn w:val="Normal"/>
    <w:rsid w:val="005C2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F35"/>
  </w:style>
  <w:style w:type="paragraph" w:styleId="Quote">
    <w:name w:val="Quote"/>
    <w:basedOn w:val="Heading1"/>
    <w:link w:val="QuoteChar"/>
    <w:qFormat/>
    <w:rsid w:val="005C2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F35"/>
    <w:pPr>
      <w:pageBreakBefore/>
    </w:pPr>
  </w:style>
  <w:style w:type="paragraph" w:customStyle="1" w:styleId="Border">
    <w:name w:val="Border"/>
    <w:basedOn w:val="Normal"/>
    <w:qFormat/>
    <w:rsid w:val="005C2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F35"/>
    <w:rPr>
      <w:u w:val="single"/>
    </w:rPr>
  </w:style>
  <w:style w:type="character" w:customStyle="1" w:styleId="BoldandItalics">
    <w:name w:val="Bold and Italics"/>
    <w:qFormat/>
    <w:rsid w:val="005C2F35"/>
    <w:rPr>
      <w:b/>
      <w:i/>
      <w:u w:val="none"/>
    </w:rPr>
  </w:style>
  <w:style w:type="paragraph" w:styleId="BalloonText">
    <w:name w:val="Balloon Text"/>
    <w:basedOn w:val="Normal"/>
    <w:link w:val="BalloonTextChar"/>
    <w:rsid w:val="005C2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F35"/>
    <w:pPr>
      <w:spacing w:before="0" w:after="0"/>
    </w:pPr>
  </w:style>
  <w:style w:type="paragraph" w:customStyle="1" w:styleId="BodyTextBold">
    <w:name w:val="Body Text Bold"/>
    <w:basedOn w:val="BodyText"/>
    <w:qFormat/>
    <w:rsid w:val="005C2F35"/>
    <w:rPr>
      <w:b/>
    </w:rPr>
  </w:style>
  <w:style w:type="character" w:styleId="Hyperlink">
    <w:name w:val="Hyperlink"/>
    <w:basedOn w:val="DefaultParagraphFont"/>
    <w:uiPriority w:val="99"/>
    <w:unhideWhenUsed/>
    <w:rsid w:val="00904F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2939</Characters>
  <Application>Microsoft Office Word</Application>
  <DocSecurity>0</DocSecurity>
  <Lines>108</Lines>
  <Paragraphs>66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AMPR321 Collect and prepare standard samples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