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5EE8" w:rsidP="00035E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AMPR312 Bone game meat</w:t>
      </w:r>
      <w:r>
        <w:fldChar w:fldCharType="end"/>
      </w:r>
    </w:p>
    <w:p w:rsidR="00035EE8" w:rsidP="00035EE8">
      <w:pPr>
        <w:pStyle w:val="Version"/>
        <w:sectPr w:rsidSect="005529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29E0" w:rsidP="005529E0">
      <w:pPr>
        <w:pStyle w:val="SuperHeading"/>
      </w:pPr>
      <w:r w:rsidRPr="005529E0">
        <w:t>AMPR312 Bone game meat</w:t>
      </w:r>
    </w:p>
    <w:p w:rsidR="00000000" w:rsidRPr="005529E0" w:rsidP="005529E0">
      <w:pPr>
        <w:pStyle w:val="Heading1"/>
      </w:pPr>
      <w:bookmarkStart w:id="1" w:name="O_734764"/>
      <w:bookmarkEnd w:id="1"/>
      <w:r w:rsidRPr="005529E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529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9E0">
            <w:pPr>
              <w:pStyle w:val="TableHeading"/>
              <w:rPr>
                <w:lang w:val="en-NZ"/>
              </w:rPr>
            </w:pPr>
            <w:r w:rsidRPr="005529E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9E0">
            <w:pPr>
              <w:pStyle w:val="TableHeading"/>
              <w:rPr>
                <w:lang w:val="en-NZ"/>
              </w:rPr>
            </w:pPr>
            <w:r w:rsidRPr="005529E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9E0">
            <w:pPr>
              <w:pStyle w:val="TableHeading"/>
              <w:rPr>
                <w:lang w:val="en-NZ"/>
              </w:rPr>
            </w:pPr>
            <w:r w:rsidRPr="005529E0">
              <w:t>Comment</w:t>
            </w:r>
          </w:p>
        </w:tc>
      </w:tr>
      <w:tr w:rsidTr="005529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9E0">
            <w:pPr>
              <w:pStyle w:val="BodyText"/>
              <w:rPr>
                <w:lang w:val="en-NZ"/>
              </w:rPr>
            </w:pPr>
            <w:r w:rsidRPr="005529E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9E0">
            <w:pPr>
              <w:pStyle w:val="BodyText"/>
              <w:rPr>
                <w:lang w:val="en-NZ"/>
              </w:rPr>
            </w:pPr>
            <w:r w:rsidRPr="005529E0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9E0" w:rsidP="005529E0">
            <w:pPr>
              <w:pStyle w:val="BodyText"/>
            </w:pPr>
            <w:r w:rsidRPr="005529E0">
              <w:t>Initial release</w:t>
            </w:r>
          </w:p>
        </w:tc>
      </w:tr>
    </w:tbl>
    <w:p w:rsidR="00000000" w:rsidRPr="005529E0" w:rsidP="005529E0">
      <w:pPr>
        <w:pStyle w:val="BodyText"/>
      </w:pPr>
    </w:p>
    <w:p w:rsidR="00000000" w:rsidRPr="005529E0" w:rsidP="005529E0">
      <w:pPr>
        <w:pStyle w:val="AllowPageBreak"/>
      </w:pPr>
    </w:p>
    <w:p w:rsidR="00000000" w:rsidRPr="005529E0" w:rsidP="005529E0">
      <w:pPr>
        <w:pStyle w:val="Heading1"/>
      </w:pPr>
      <w:bookmarkStart w:id="2" w:name="O_734765"/>
      <w:bookmarkEnd w:id="2"/>
      <w:r w:rsidRPr="005529E0">
        <w:t>Application</w:t>
      </w:r>
    </w:p>
    <w:p w:rsidR="00000000" w:rsidRPr="005529E0" w:rsidP="00035EE8">
      <w:pPr>
        <w:pStyle w:val="BodyText"/>
      </w:pPr>
      <w:r w:rsidRPr="005529E0">
        <w:t>This unit describes the skills and knowledge required to bone game meat.</w:t>
      </w:r>
    </w:p>
    <w:p w:rsidR="00000000" w:rsidRPr="005529E0" w:rsidP="00035EE8">
      <w:pPr>
        <w:pStyle w:val="BodyText"/>
      </w:pPr>
      <w:r w:rsidRPr="005529E0">
        <w:t>This unit is applicable to workers in boning room and meat retail operations.</w:t>
      </w:r>
    </w:p>
    <w:p w:rsidR="00000000" w:rsidRPr="005529E0" w:rsidP="00035EE8">
      <w:pPr>
        <w:pStyle w:val="BodyText"/>
      </w:pPr>
      <w:r w:rsidRPr="005529E0">
        <w:t>All training must be conducted in accordance with Australian meat industry standards and regulations.</w:t>
      </w:r>
    </w:p>
    <w:p w:rsidR="00000000" w:rsidRPr="005529E0" w:rsidP="00035EE8">
      <w:pPr>
        <w:pStyle w:val="BodyText"/>
      </w:pPr>
      <w:r w:rsidRPr="005529E0">
        <w:t>All work should be carried out to comply with workplace requirements and hygiene standards.</w:t>
      </w:r>
    </w:p>
    <w:p w:rsidR="00000000" w:rsidRPr="005529E0" w:rsidP="00035EE8">
      <w:pPr>
        <w:pStyle w:val="BodyText"/>
      </w:pPr>
      <w:r w:rsidRPr="005529E0">
        <w:t>This unit applies to individuals who work under broad direct</w:t>
      </w:r>
      <w:r w:rsidRPr="005529E0">
        <w:t>ion and take responsibility for their own work.</w:t>
      </w:r>
    </w:p>
    <w:p w:rsidR="00000000" w:rsidRPr="005529E0" w:rsidP="00035EE8">
      <w:pPr>
        <w:pStyle w:val="BodyText"/>
      </w:pPr>
      <w:r w:rsidRPr="005529E0">
        <w:t>No occupational licensing, legislative or certification requirements are known to apply to this unit at the time of publication.</w:t>
      </w:r>
    </w:p>
    <w:p w:rsidR="00000000" w:rsidRPr="005529E0" w:rsidP="005529E0">
      <w:pPr>
        <w:pStyle w:val="Heading1"/>
      </w:pPr>
      <w:bookmarkStart w:id="3" w:name="O_734766"/>
      <w:bookmarkEnd w:id="3"/>
      <w:r w:rsidRPr="005529E0">
        <w:t>Pre-requisite Unit</w:t>
      </w:r>
    </w:p>
    <w:p w:rsidR="00000000" w:rsidRPr="005529E0" w:rsidP="00035EE8">
      <w:pPr>
        <w:pStyle w:val="BodyText"/>
      </w:pPr>
      <w:r w:rsidRPr="005529E0">
        <w:t>AMPX209 Sharpen knives</w:t>
      </w:r>
    </w:p>
    <w:p w:rsidR="00000000" w:rsidRPr="005529E0" w:rsidP="005529E0">
      <w:pPr>
        <w:pStyle w:val="Heading1"/>
      </w:pPr>
      <w:bookmarkStart w:id="4" w:name="O_734768"/>
      <w:bookmarkEnd w:id="4"/>
      <w:r w:rsidRPr="005529E0">
        <w:t>Un</w:t>
      </w:r>
      <w:r w:rsidRPr="005529E0">
        <w:t>it Sector</w:t>
      </w:r>
    </w:p>
    <w:p w:rsidR="00000000" w:rsidRPr="005529E0" w:rsidP="005529E0">
      <w:pPr>
        <w:pStyle w:val="Heading1"/>
      </w:pPr>
      <w:bookmarkStart w:id="5" w:name="O_734769"/>
      <w:bookmarkEnd w:id="5"/>
      <w:r w:rsidRPr="005529E0">
        <w:t>Elements and Performance Criteria</w:t>
      </w:r>
    </w:p>
    <w:tbl>
      <w:tblPr>
        <w:tblW w:w="955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27"/>
      </w:tblGrid>
      <w:tr w:rsidTr="00035EE8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9E0">
            <w:pPr>
              <w:pStyle w:val="TableHeading"/>
              <w:rPr>
                <w:lang w:val="en-NZ"/>
              </w:rPr>
            </w:pPr>
            <w:r w:rsidRPr="005529E0">
              <w:t>Element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9E0">
            <w:pPr>
              <w:pStyle w:val="TableHeading"/>
              <w:rPr>
                <w:lang w:val="en-NZ"/>
              </w:rPr>
            </w:pPr>
            <w:r w:rsidRPr="005529E0">
              <w:t>Performance criteria</w:t>
            </w:r>
          </w:p>
        </w:tc>
      </w:tr>
      <w:tr w:rsidTr="00035EE8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9E0">
            <w:pPr>
              <w:pStyle w:val="BodyText"/>
              <w:rPr>
                <w:lang w:val="en-NZ"/>
              </w:rPr>
            </w:pPr>
            <w:r w:rsidRPr="005529E0">
              <w:t xml:space="preserve">Elements describe the </w:t>
            </w:r>
            <w:r w:rsidRPr="005529E0">
              <w:t>essential outcomes.</w:t>
            </w:r>
          </w:p>
        </w:tc>
        <w:tc>
          <w:tcPr>
            <w:tcW w:w="682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9E0">
            <w:pPr>
              <w:pStyle w:val="BodyText"/>
              <w:rPr>
                <w:lang w:val="en-NZ"/>
              </w:rPr>
            </w:pPr>
            <w:r w:rsidRPr="005529E0">
              <w:t xml:space="preserve">Performance criteria describe the performance needed to demonstrate </w:t>
            </w:r>
            <w:r w:rsidRPr="005529E0">
              <w:t>achievement of the element.</w:t>
            </w:r>
          </w:p>
        </w:tc>
      </w:tr>
      <w:tr w:rsidTr="00035EE8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9E0">
            <w:pPr>
              <w:pStyle w:val="List"/>
              <w:rPr>
                <w:lang w:val="en-NZ"/>
              </w:rPr>
            </w:pPr>
            <w:r w:rsidRPr="005529E0">
              <w:t>1.</w:t>
            </w:r>
            <w:r w:rsidRPr="005529E0">
              <w:tab/>
              <w:t>Bone game meat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9E0" w:rsidP="005529E0">
            <w:pPr>
              <w:pStyle w:val="List"/>
            </w:pPr>
            <w:r w:rsidRPr="005529E0">
              <w:t>1.1</w:t>
            </w:r>
            <w:r w:rsidRPr="005529E0">
              <w:tab/>
            </w:r>
            <w:r w:rsidRPr="005529E0">
              <w:t>Bone game meat to customer specifications and workplace requirements</w:t>
            </w:r>
          </w:p>
          <w:p w:rsidR="00000000" w:rsidP="005529E0">
            <w:pPr>
              <w:pStyle w:val="List"/>
              <w:rPr>
                <w:lang w:val="en-NZ"/>
              </w:rPr>
            </w:pPr>
            <w:r w:rsidRPr="005529E0">
              <w:t>1.2</w:t>
            </w:r>
            <w:r w:rsidRPr="005529E0">
              <w:tab/>
              <w:t>Task is performed to workplace health and safety, hygiene and Quality Assurance (QA) requirements</w:t>
            </w:r>
          </w:p>
        </w:tc>
      </w:tr>
      <w:tr w:rsidTr="00035EE8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9E0">
            <w:pPr>
              <w:pStyle w:val="List"/>
              <w:rPr>
                <w:lang w:val="en-NZ"/>
              </w:rPr>
            </w:pPr>
            <w:r w:rsidRPr="005529E0">
              <w:t>2.</w:t>
            </w:r>
            <w:r w:rsidRPr="005529E0">
              <w:tab/>
              <w:t>Handle knife effectively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9E0" w:rsidP="005529E0">
            <w:pPr>
              <w:pStyle w:val="List"/>
            </w:pPr>
            <w:r w:rsidRPr="005529E0">
              <w:t>2.1</w:t>
            </w:r>
            <w:r w:rsidRPr="005529E0">
              <w:tab/>
              <w:t>Handle knife safely, hygienically and effectively</w:t>
            </w:r>
          </w:p>
        </w:tc>
      </w:tr>
    </w:tbl>
    <w:p w:rsidR="00000000" w:rsidRPr="005529E0" w:rsidP="005529E0">
      <w:pPr>
        <w:pStyle w:val="BodyText"/>
      </w:pPr>
    </w:p>
    <w:p w:rsidR="00000000" w:rsidRPr="005529E0" w:rsidP="005529E0">
      <w:pPr>
        <w:pStyle w:val="AllowPageBreak"/>
      </w:pPr>
    </w:p>
    <w:p w:rsidR="00000000" w:rsidRPr="005529E0" w:rsidP="005529E0">
      <w:pPr>
        <w:pStyle w:val="Heading1"/>
      </w:pPr>
      <w:bookmarkStart w:id="6" w:name="O_734770"/>
      <w:bookmarkEnd w:id="6"/>
      <w:r w:rsidRPr="005529E0">
        <w:t>Foundation Skills</w:t>
      </w:r>
    </w:p>
    <w:p w:rsidR="00000000" w:rsidRPr="005529E0" w:rsidP="00035EE8">
      <w:pPr>
        <w:pStyle w:val="BodyText"/>
      </w:pPr>
      <w:r w:rsidRPr="005529E0">
        <w:t>Foundation Skills essential to performance are explicit in the performance criteria of this unit of competency.</w:t>
      </w:r>
    </w:p>
    <w:p w:rsidR="00000000" w:rsidRPr="005529E0" w:rsidP="005529E0">
      <w:pPr>
        <w:pStyle w:val="Heading1"/>
      </w:pPr>
      <w:bookmarkStart w:id="7" w:name="O_734771"/>
      <w:bookmarkEnd w:id="7"/>
      <w:r w:rsidRPr="005529E0">
        <w:t>Range of Conditions</w:t>
      </w:r>
    </w:p>
    <w:p w:rsidR="00000000" w:rsidRPr="005529E0" w:rsidP="005529E0">
      <w:pPr>
        <w:pStyle w:val="Heading1"/>
      </w:pPr>
      <w:bookmarkStart w:id="8" w:name="O_734772"/>
      <w:bookmarkEnd w:id="8"/>
      <w:r w:rsidRPr="005529E0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035EE8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9E0">
            <w:pPr>
              <w:pStyle w:val="BodyText"/>
              <w:rPr>
                <w:lang w:val="en-NZ"/>
              </w:rPr>
            </w:pPr>
            <w:r w:rsidRPr="005529E0">
              <w:t>MTMR313C Bone game meat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9E0" w:rsidP="005529E0">
            <w:pPr>
              <w:pStyle w:val="BodyText"/>
            </w:pPr>
            <w:r w:rsidRPr="005529E0">
              <w:t>E</w:t>
            </w:r>
          </w:p>
        </w:tc>
      </w:tr>
    </w:tbl>
    <w:p w:rsidR="00000000" w:rsidRPr="005529E0" w:rsidP="005529E0">
      <w:pPr>
        <w:pStyle w:val="BodyText"/>
      </w:pPr>
    </w:p>
    <w:p w:rsidR="00000000" w:rsidRPr="005529E0" w:rsidP="005529E0">
      <w:pPr>
        <w:pStyle w:val="AllowPageBreak"/>
      </w:pPr>
    </w:p>
    <w:p w:rsidR="00000000" w:rsidRPr="005529E0" w:rsidP="005529E0">
      <w:pPr>
        <w:pStyle w:val="Heading1"/>
      </w:pPr>
      <w:bookmarkStart w:id="9" w:name="O_734779"/>
      <w:bookmarkEnd w:id="9"/>
      <w:r w:rsidRPr="005529E0">
        <w:t>Links</w:t>
      </w:r>
    </w:p>
    <w:p w:rsidR="00000000" w:rsidRPr="005529E0" w:rsidP="00035EE8">
      <w:pPr>
        <w:pStyle w:val="BodyText"/>
      </w:pPr>
      <w:r w:rsidRPr="005529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F5C6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529E0" w:rsidP="00035EE8">
      <w:pPr>
        <w:pStyle w:val="BodyText"/>
        <w:sectPr w:rsidSect="005529E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529E0" w:rsidP="005529E0">
      <w:pPr>
        <w:pStyle w:val="SuperHeading"/>
      </w:pPr>
      <w:r w:rsidRPr="005529E0">
        <w:t xml:space="preserve">Assessment Requirements for AMPR312 Bone </w:t>
      </w:r>
      <w:r w:rsidRPr="005529E0">
        <w:t>game meat</w:t>
      </w:r>
    </w:p>
    <w:p w:rsidR="00000000" w:rsidRPr="005529E0" w:rsidP="005529E0">
      <w:pPr>
        <w:pStyle w:val="Heading1"/>
      </w:pPr>
      <w:bookmarkStart w:id="10" w:name="O_734774"/>
      <w:bookmarkEnd w:id="10"/>
      <w:r w:rsidRPr="005529E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529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9E0">
            <w:pPr>
              <w:pStyle w:val="TableHeading"/>
              <w:rPr>
                <w:lang w:val="en-NZ"/>
              </w:rPr>
            </w:pPr>
            <w:r w:rsidRPr="005529E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9E0">
            <w:pPr>
              <w:pStyle w:val="TableHeading"/>
              <w:rPr>
                <w:lang w:val="en-NZ"/>
              </w:rPr>
            </w:pPr>
            <w:r w:rsidRPr="005529E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9E0">
            <w:pPr>
              <w:pStyle w:val="TableHeading"/>
              <w:rPr>
                <w:lang w:val="en-NZ"/>
              </w:rPr>
            </w:pPr>
            <w:r w:rsidRPr="005529E0">
              <w:t>Comment</w:t>
            </w:r>
          </w:p>
        </w:tc>
      </w:tr>
      <w:tr w:rsidTr="005529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9E0">
            <w:pPr>
              <w:pStyle w:val="BodyText"/>
              <w:rPr>
                <w:lang w:val="en-NZ"/>
              </w:rPr>
            </w:pPr>
            <w:r w:rsidRPr="005529E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9E0">
            <w:pPr>
              <w:pStyle w:val="BodyText"/>
              <w:rPr>
                <w:lang w:val="en-NZ"/>
              </w:rPr>
            </w:pPr>
            <w:r w:rsidRPr="005529E0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9E0" w:rsidP="005529E0">
            <w:pPr>
              <w:pStyle w:val="BodyText"/>
            </w:pPr>
            <w:r w:rsidRPr="005529E0">
              <w:t>Initial release</w:t>
            </w:r>
          </w:p>
        </w:tc>
      </w:tr>
    </w:tbl>
    <w:p w:rsidR="00000000" w:rsidRPr="005529E0" w:rsidP="005529E0">
      <w:pPr>
        <w:pStyle w:val="BodyText"/>
      </w:pPr>
    </w:p>
    <w:p w:rsidR="00000000" w:rsidRPr="005529E0" w:rsidP="005529E0">
      <w:pPr>
        <w:pStyle w:val="AllowPageBreak"/>
      </w:pPr>
    </w:p>
    <w:p w:rsidR="00000000" w:rsidRPr="005529E0" w:rsidP="005529E0">
      <w:pPr>
        <w:pStyle w:val="Heading1"/>
      </w:pPr>
      <w:bookmarkStart w:id="11" w:name="O_734775"/>
      <w:bookmarkEnd w:id="11"/>
      <w:r w:rsidRPr="005529E0">
        <w:t>Performance Evidence</w:t>
      </w:r>
    </w:p>
    <w:p w:rsidR="00000000" w:rsidRPr="005529E0" w:rsidP="00035EE8">
      <w:pPr>
        <w:pStyle w:val="BodyText"/>
      </w:pPr>
      <w:r w:rsidRPr="005529E0">
        <w:t>Evidence must demonstrate the candidate</w:t>
      </w:r>
      <w:r>
        <w:t>’</w:t>
      </w:r>
      <w:r w:rsidRPr="005529E0">
        <w:t>s consistency of performance over time at production speed.</w:t>
      </w:r>
    </w:p>
    <w:p w:rsidR="00000000" w:rsidRPr="005529E0" w:rsidP="00035EE8">
      <w:pPr>
        <w:pStyle w:val="BodyText"/>
      </w:pPr>
      <w:r w:rsidRPr="005529E0">
        <w:t xml:space="preserve">The candidate must: </w:t>
      </w:r>
    </w:p>
    <w:p w:rsidR="00000000" w:rsidRPr="005529E0" w:rsidP="005529E0">
      <w:pPr>
        <w:pStyle w:val="ListBullet"/>
      </w:pPr>
      <w:r w:rsidRPr="005529E0">
        <w:t>identify the main parts of the carcase</w:t>
      </w:r>
    </w:p>
    <w:p w:rsidR="00000000" w:rsidRPr="005529E0" w:rsidP="005529E0">
      <w:pPr>
        <w:pStyle w:val="ListBullet"/>
      </w:pPr>
      <w:r w:rsidRPr="005529E0">
        <w:t>demonstrate equipment used to bone carcase</w:t>
      </w:r>
    </w:p>
    <w:p w:rsidR="00000000" w:rsidRPr="005529E0" w:rsidP="005529E0">
      <w:pPr>
        <w:pStyle w:val="ListBullet"/>
      </w:pPr>
      <w:r w:rsidRPr="005529E0">
        <w:t>apply relevant regulatory requirements</w:t>
      </w:r>
    </w:p>
    <w:p w:rsidR="00000000" w:rsidRPr="005529E0" w:rsidP="005529E0">
      <w:pPr>
        <w:pStyle w:val="ListBullet"/>
      </w:pPr>
      <w:r w:rsidRPr="005529E0">
        <w:t>use communication skills appropriate to the task</w:t>
      </w:r>
    </w:p>
    <w:p w:rsidR="00000000" w:rsidRPr="005529E0" w:rsidP="005529E0">
      <w:pPr>
        <w:pStyle w:val="AllowPageBreak"/>
      </w:pPr>
    </w:p>
    <w:p w:rsidR="00000000" w:rsidRPr="005529E0" w:rsidP="005529E0">
      <w:pPr>
        <w:pStyle w:val="Heading1"/>
      </w:pPr>
      <w:bookmarkStart w:id="12" w:name="O_734776"/>
      <w:bookmarkEnd w:id="12"/>
      <w:r w:rsidRPr="005529E0">
        <w:t>Knowledge Evidence</w:t>
      </w:r>
    </w:p>
    <w:p w:rsidR="00000000" w:rsidRPr="005529E0" w:rsidP="00035EE8">
      <w:pPr>
        <w:pStyle w:val="BodyText"/>
      </w:pPr>
      <w:r w:rsidRPr="005529E0">
        <w:t>The candidate must demonstrate a factual, technical, procedural and theoretical knowledge of:</w:t>
      </w:r>
    </w:p>
    <w:p w:rsidR="00000000" w:rsidRPr="005529E0" w:rsidP="005529E0">
      <w:pPr>
        <w:pStyle w:val="ListBullet"/>
      </w:pPr>
      <w:r w:rsidRPr="005529E0">
        <w:t>different methods of boning</w:t>
      </w:r>
    </w:p>
    <w:p w:rsidR="00000000" w:rsidRPr="005529E0" w:rsidP="005529E0">
      <w:pPr>
        <w:pStyle w:val="ListBullet"/>
      </w:pPr>
      <w:r w:rsidRPr="005529E0">
        <w:t>equipment used to bone carcase</w:t>
      </w:r>
    </w:p>
    <w:p w:rsidR="00000000" w:rsidRPr="005529E0" w:rsidP="005529E0">
      <w:pPr>
        <w:pStyle w:val="ListBullet"/>
      </w:pPr>
      <w:r w:rsidRPr="005529E0">
        <w:t>relevant regulatory requirements</w:t>
      </w:r>
    </w:p>
    <w:p w:rsidR="00000000" w:rsidRPr="005529E0" w:rsidP="005529E0">
      <w:pPr>
        <w:pStyle w:val="ListBullet"/>
      </w:pPr>
      <w:r w:rsidRPr="005529E0">
        <w:t>main parts of the carcase</w:t>
      </w:r>
    </w:p>
    <w:p w:rsidR="00000000" w:rsidRPr="005529E0" w:rsidP="005529E0">
      <w:pPr>
        <w:pStyle w:val="AllowPageBreak"/>
      </w:pPr>
    </w:p>
    <w:p w:rsidR="00000000" w:rsidRPr="005529E0" w:rsidP="005529E0">
      <w:pPr>
        <w:pStyle w:val="Heading1"/>
      </w:pPr>
      <w:bookmarkStart w:id="13" w:name="O_734777"/>
      <w:bookmarkEnd w:id="13"/>
      <w:r w:rsidRPr="005529E0">
        <w:t>Assessment Conditions</w:t>
      </w:r>
    </w:p>
    <w:p w:rsidR="00000000" w:rsidRPr="005529E0" w:rsidP="00035EE8">
      <w:pPr>
        <w:pStyle w:val="BodyText"/>
      </w:pPr>
      <w:r w:rsidRPr="005529E0">
        <w:t>Comp</w:t>
      </w:r>
      <w:r w:rsidRPr="005529E0">
        <w:t>etency must be demonstrated over time and under typical operating conditions for the enterprise.</w:t>
      </w:r>
    </w:p>
    <w:p w:rsidR="00000000" w:rsidRPr="005529E0" w:rsidP="00035EE8">
      <w:pPr>
        <w:pStyle w:val="BodyText"/>
      </w:pPr>
      <w:r w:rsidRPr="005529E0">
        <w:t>Assessment must occur in the workplace under normal production conditions or in a simulated environment.</w:t>
      </w:r>
    </w:p>
    <w:p w:rsidR="00000000" w:rsidRPr="005529E0" w:rsidP="00035EE8">
      <w:pPr>
        <w:pStyle w:val="BodyText"/>
      </w:pPr>
      <w:r w:rsidRPr="005529E0">
        <w:t>The following three forms of assessment must be used</w:t>
      </w:r>
      <w:r w:rsidRPr="005529E0">
        <w:t>:</w:t>
      </w:r>
    </w:p>
    <w:p w:rsidR="00000000" w:rsidRPr="005529E0" w:rsidP="005529E0">
      <w:pPr>
        <w:pStyle w:val="ListBullet"/>
      </w:pPr>
      <w:r w:rsidRPr="005529E0">
        <w:t>quiz of underpinning knowledge</w:t>
      </w:r>
    </w:p>
    <w:p w:rsidR="00000000" w:rsidRPr="005529E0" w:rsidP="005529E0">
      <w:pPr>
        <w:pStyle w:val="ListBullet"/>
      </w:pPr>
      <w:r w:rsidRPr="005529E0">
        <w:t>demonstration in the workplace or simulated environment</w:t>
      </w:r>
    </w:p>
    <w:p w:rsidR="00000000" w:rsidRPr="005529E0" w:rsidP="005529E0">
      <w:pPr>
        <w:pStyle w:val="ListBullet"/>
      </w:pPr>
      <w:r w:rsidRPr="005529E0">
        <w:t>workplace referee or third-party report of performance over time</w:t>
      </w:r>
    </w:p>
    <w:p w:rsidR="00000000" w:rsidRPr="005529E0" w:rsidP="005529E0">
      <w:pPr>
        <w:pStyle w:val="BodyText"/>
      </w:pPr>
    </w:p>
    <w:p w:rsidR="00000000" w:rsidRPr="005529E0" w:rsidP="00035EE8">
      <w:pPr>
        <w:pStyle w:val="BodyText"/>
      </w:pPr>
      <w:r w:rsidRPr="005529E0">
        <w:t>Assessors must satisfy current standards for RTOs.</w:t>
      </w:r>
    </w:p>
    <w:p w:rsidR="00000000" w:rsidRPr="005529E0" w:rsidP="005529E0">
      <w:pPr>
        <w:pStyle w:val="Heading1"/>
      </w:pPr>
      <w:bookmarkStart w:id="14" w:name="O_734780"/>
      <w:bookmarkEnd w:id="14"/>
      <w:r w:rsidRPr="005529E0">
        <w:t>Links</w:t>
      </w:r>
    </w:p>
    <w:p w:rsidR="00000000" w:rsidRPr="005529E0" w:rsidP="00035EE8">
      <w:pPr>
        <w:pStyle w:val="BodyText"/>
      </w:pPr>
      <w:r w:rsidRPr="005529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F5C6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529E0" w:rsidP="005529E0"/>
    <w:sectPr w:rsidSect="005529E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9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9E0" w:rsidRPr="00035EE8" w:rsidP="00035E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9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EE8" w:rsidP="005529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5EE8" w:rsidP="005529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35EE8" w:rsidP="005529E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9E0" w:rsidP="005529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35EE8">
      <w:t>Approved</w:t>
    </w:r>
    <w:r w:rsidR="00035EE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35EE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35EE8">
      <w:rPr>
        <w:noProof/>
      </w:rPr>
      <w:t>4</w:t>
    </w:r>
    <w:r>
      <w:rPr>
        <w:noProof/>
      </w:rPr>
      <w:fldChar w:fldCharType="end"/>
    </w:r>
  </w:p>
  <w:p w:rsidR="005529E0" w:rsidP="005529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35EE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35EE8">
      <w:t>Skills Insight</w:t>
    </w:r>
    <w:r w:rsidR="00035EE8">
      <w:fldChar w:fldCharType="end"/>
    </w:r>
  </w:p>
  <w:p w:rsidR="005529E0" w:rsidP="005529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9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E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29E0" w:rsidRPr="00035EE8" w:rsidP="00035E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9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EE8" w:rsidRPr="002D2AF8" w:rsidP="005529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AMPR312 Bone game meat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35EE8" w:rsidP="005529E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9E0" w:rsidRPr="002D2AF8" w:rsidP="005529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35EE8">
      <w:t>AMPR312 Bone game meat</w:t>
    </w:r>
    <w:r w:rsidR="00035EE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35EE8">
      <w:rPr>
        <w:noProof/>
      </w:rPr>
      <w:t>2 March 2025</w:t>
    </w:r>
    <w:r>
      <w:fldChar w:fldCharType="end"/>
    </w:r>
  </w:p>
  <w:p w:rsidR="005529E0" w:rsidP="005529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8A826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4499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9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29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29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29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29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29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29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29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29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29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29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29E0"/>
  </w:style>
  <w:style w:type="character" w:customStyle="1" w:styleId="Heading1Char">
    <w:name w:val="Heading 1 Char"/>
    <w:basedOn w:val="DefaultParagraphFont"/>
    <w:link w:val="Heading1"/>
    <w:rsid w:val="005529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29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29E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529E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529E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529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529E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529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29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29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29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29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29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29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29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29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29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29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29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29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29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29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29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29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29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29E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529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529E0"/>
    <w:rPr>
      <w:b/>
      <w:spacing w:val="0"/>
    </w:rPr>
  </w:style>
  <w:style w:type="paragraph" w:customStyle="1" w:styleId="SuperTitle">
    <w:name w:val="SuperTitle"/>
    <w:basedOn w:val="Title"/>
    <w:rsid w:val="005529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29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29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29E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29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29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29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29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29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29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29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29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29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29E0"/>
    <w:rPr>
      <w:i/>
    </w:rPr>
  </w:style>
  <w:style w:type="paragraph" w:styleId="Caption">
    <w:name w:val="caption"/>
    <w:basedOn w:val="BodyText"/>
    <w:next w:val="Normal"/>
    <w:qFormat/>
    <w:rsid w:val="005529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29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29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29E0"/>
  </w:style>
  <w:style w:type="paragraph" w:styleId="TableofFigures">
    <w:name w:val="table of figures"/>
    <w:basedOn w:val="Normal"/>
    <w:next w:val="Normal"/>
    <w:semiHidden/>
    <w:rsid w:val="005529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29E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529E0"/>
    <w:rPr>
      <w:rFonts w:ascii="Wingdings" w:hAnsi="Wingdings"/>
    </w:rPr>
  </w:style>
  <w:style w:type="character" w:customStyle="1" w:styleId="HotSpot">
    <w:name w:val="HotSpot"/>
    <w:rsid w:val="005529E0"/>
    <w:rPr>
      <w:color w:val="0033CC"/>
      <w:u w:val="none"/>
    </w:rPr>
  </w:style>
  <w:style w:type="paragraph" w:customStyle="1" w:styleId="BodyTextRight">
    <w:name w:val="Body Text Right"/>
    <w:basedOn w:val="BodyText"/>
    <w:rsid w:val="005529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29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29E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29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29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29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29E0"/>
    <w:rPr>
      <w:sz w:val="32"/>
    </w:rPr>
  </w:style>
  <w:style w:type="paragraph" w:customStyle="1" w:styleId="HeadingProcedure">
    <w:name w:val="Heading Procedure"/>
    <w:basedOn w:val="HeadingBase"/>
    <w:next w:val="Normal"/>
    <w:rsid w:val="005529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29E0"/>
    <w:pPr>
      <w:spacing w:before="60" w:after="60"/>
    </w:pPr>
  </w:style>
  <w:style w:type="paragraph" w:styleId="ListContinue">
    <w:name w:val="List Continue"/>
    <w:basedOn w:val="List"/>
    <w:rsid w:val="005529E0"/>
    <w:pPr>
      <w:ind w:firstLine="0"/>
    </w:pPr>
  </w:style>
  <w:style w:type="paragraph" w:customStyle="1" w:styleId="ListNote">
    <w:name w:val="List Note"/>
    <w:basedOn w:val="List"/>
    <w:rsid w:val="005529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29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29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29E0"/>
    <w:rPr>
      <w:rFonts w:ascii="Courier New" w:hAnsi="Courier New"/>
    </w:rPr>
  </w:style>
  <w:style w:type="paragraph" w:customStyle="1" w:styleId="NoteBullet">
    <w:name w:val="Note Bullet"/>
    <w:basedOn w:val="Note"/>
    <w:rsid w:val="005529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29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29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29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29E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29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29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29E0"/>
    <w:rPr>
      <w:b/>
      <w:smallCaps/>
    </w:rPr>
  </w:style>
  <w:style w:type="paragraph" w:customStyle="1" w:styleId="TableListNumber">
    <w:name w:val="Table List Number"/>
    <w:basedOn w:val="ListNumber"/>
    <w:rsid w:val="005529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29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29E0"/>
    <w:pPr>
      <w:numPr>
        <w:numId w:val="8"/>
      </w:numPr>
    </w:pPr>
  </w:style>
  <w:style w:type="paragraph" w:customStyle="1" w:styleId="ListAlpha2">
    <w:name w:val="List Alpha 2"/>
    <w:basedOn w:val="List2"/>
    <w:rsid w:val="005529E0"/>
    <w:pPr>
      <w:numPr>
        <w:numId w:val="7"/>
      </w:numPr>
    </w:pPr>
  </w:style>
  <w:style w:type="paragraph" w:styleId="List2">
    <w:name w:val="List 2"/>
    <w:basedOn w:val="BodyText"/>
    <w:rsid w:val="005529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29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29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29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29E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29E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529E0"/>
    <w:pPr>
      <w:numPr>
        <w:numId w:val="3"/>
      </w:numPr>
    </w:pPr>
  </w:style>
  <w:style w:type="paragraph" w:styleId="ListContinue2">
    <w:name w:val="List Continue 2"/>
    <w:basedOn w:val="List2"/>
    <w:rsid w:val="005529E0"/>
    <w:pPr>
      <w:ind w:firstLine="0"/>
    </w:pPr>
  </w:style>
  <w:style w:type="paragraph" w:styleId="ListContinue3">
    <w:name w:val="List Continue 3"/>
    <w:basedOn w:val="List3"/>
    <w:rsid w:val="005529E0"/>
    <w:pPr>
      <w:ind w:left="1021" w:firstLine="0"/>
    </w:pPr>
  </w:style>
  <w:style w:type="paragraph" w:styleId="ListContinue4">
    <w:name w:val="List Continue 4"/>
    <w:basedOn w:val="List4"/>
    <w:rsid w:val="005529E0"/>
    <w:pPr>
      <w:ind w:firstLine="0"/>
    </w:pPr>
  </w:style>
  <w:style w:type="paragraph" w:styleId="ListContinue5">
    <w:name w:val="List Continue 5"/>
    <w:basedOn w:val="List5"/>
    <w:rsid w:val="005529E0"/>
    <w:pPr>
      <w:ind w:firstLine="0"/>
    </w:pPr>
  </w:style>
  <w:style w:type="paragraph" w:styleId="ListNumber3">
    <w:name w:val="List Number 3"/>
    <w:basedOn w:val="List3"/>
    <w:rsid w:val="005529E0"/>
    <w:pPr>
      <w:numPr>
        <w:numId w:val="4"/>
      </w:numPr>
    </w:pPr>
  </w:style>
  <w:style w:type="paragraph" w:styleId="ListNumber4">
    <w:name w:val="List Number 4"/>
    <w:basedOn w:val="List4"/>
    <w:rsid w:val="005529E0"/>
    <w:pPr>
      <w:numPr>
        <w:numId w:val="5"/>
      </w:numPr>
    </w:pPr>
  </w:style>
  <w:style w:type="paragraph" w:styleId="ListNumber5">
    <w:name w:val="List Number 5"/>
    <w:basedOn w:val="List5"/>
    <w:rsid w:val="005529E0"/>
    <w:pPr>
      <w:numPr>
        <w:numId w:val="6"/>
      </w:numPr>
    </w:pPr>
  </w:style>
  <w:style w:type="paragraph" w:styleId="BlockText">
    <w:name w:val="Block Text"/>
    <w:basedOn w:val="Normal"/>
    <w:rsid w:val="005529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29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29E0"/>
    <w:rPr>
      <w:sz w:val="16"/>
      <w:vertAlign w:val="superscript"/>
    </w:rPr>
  </w:style>
  <w:style w:type="character" w:customStyle="1" w:styleId="Symbols">
    <w:name w:val="Symbols"/>
    <w:basedOn w:val="DefaultParagraphFont"/>
    <w:rsid w:val="005529E0"/>
    <w:rPr>
      <w:rFonts w:ascii="Symbol" w:hAnsi="Symbol"/>
    </w:rPr>
  </w:style>
  <w:style w:type="character" w:customStyle="1" w:styleId="MenuOptions">
    <w:name w:val="Menu Options"/>
    <w:basedOn w:val="DefaultParagraphFont"/>
    <w:rsid w:val="005529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29E0"/>
    <w:rPr>
      <w:b/>
    </w:rPr>
  </w:style>
  <w:style w:type="character" w:customStyle="1" w:styleId="Underlined">
    <w:name w:val="Underlined"/>
    <w:basedOn w:val="DefaultParagraphFont"/>
    <w:rsid w:val="005529E0"/>
    <w:rPr>
      <w:u w:val="single"/>
    </w:rPr>
  </w:style>
  <w:style w:type="paragraph" w:customStyle="1" w:styleId="TableBodyTextRight">
    <w:name w:val="Table Body Text Right"/>
    <w:basedOn w:val="TableBodyText"/>
    <w:rsid w:val="005529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29E0"/>
    <w:rPr>
      <w:sz w:val="18"/>
    </w:rPr>
  </w:style>
  <w:style w:type="paragraph" w:customStyle="1" w:styleId="BodySmallRight">
    <w:name w:val="Body Small Right"/>
    <w:basedOn w:val="BodyTextRight"/>
    <w:rsid w:val="005529E0"/>
    <w:rPr>
      <w:sz w:val="18"/>
      <w:szCs w:val="18"/>
    </w:rPr>
  </w:style>
  <w:style w:type="paragraph" w:customStyle="1" w:styleId="MarginEdition">
    <w:name w:val="Margin Edition"/>
    <w:basedOn w:val="MarginNote"/>
    <w:rsid w:val="005529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29E0"/>
    <w:rPr>
      <w:sz w:val="2"/>
      <w:szCs w:val="2"/>
    </w:rPr>
  </w:style>
  <w:style w:type="character" w:customStyle="1" w:styleId="Small">
    <w:name w:val="Small"/>
    <w:basedOn w:val="DefaultParagraphFont"/>
    <w:rsid w:val="005529E0"/>
    <w:rPr>
      <w:sz w:val="16"/>
    </w:rPr>
  </w:style>
  <w:style w:type="paragraph" w:customStyle="1" w:styleId="WideTable">
    <w:name w:val="Wide Table"/>
    <w:basedOn w:val="Normal"/>
    <w:rsid w:val="005529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29E0"/>
  </w:style>
  <w:style w:type="paragraph" w:styleId="Quote">
    <w:name w:val="Quote"/>
    <w:basedOn w:val="Heading1"/>
    <w:link w:val="QuoteChar"/>
    <w:qFormat/>
    <w:rsid w:val="005529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29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29E0"/>
    <w:pPr>
      <w:pageBreakBefore/>
    </w:pPr>
  </w:style>
  <w:style w:type="paragraph" w:customStyle="1" w:styleId="Border">
    <w:name w:val="Border"/>
    <w:basedOn w:val="Normal"/>
    <w:qFormat/>
    <w:rsid w:val="005529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29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29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29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29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29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29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29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29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29E0"/>
    <w:rPr>
      <w:u w:val="single"/>
    </w:rPr>
  </w:style>
  <w:style w:type="character" w:customStyle="1" w:styleId="BoldandItalics">
    <w:name w:val="Bold and Italics"/>
    <w:qFormat/>
    <w:rsid w:val="005529E0"/>
    <w:rPr>
      <w:b/>
      <w:i/>
      <w:u w:val="none"/>
    </w:rPr>
  </w:style>
  <w:style w:type="paragraph" w:styleId="BalloonText">
    <w:name w:val="Balloon Text"/>
    <w:basedOn w:val="Normal"/>
    <w:link w:val="BalloonTextChar"/>
    <w:rsid w:val="005529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29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29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29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29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29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29E0"/>
    <w:pPr>
      <w:spacing w:before="0" w:after="0"/>
    </w:pPr>
  </w:style>
  <w:style w:type="paragraph" w:customStyle="1" w:styleId="BodyTextBold">
    <w:name w:val="Body Text Bold"/>
    <w:basedOn w:val="BodyText"/>
    <w:qFormat/>
    <w:rsid w:val="005529E0"/>
    <w:rPr>
      <w:b/>
    </w:rPr>
  </w:style>
  <w:style w:type="character" w:styleId="Hyperlink">
    <w:name w:val="Hyperlink"/>
    <w:basedOn w:val="DefaultParagraphFont"/>
    <w:uiPriority w:val="99"/>
    <w:unhideWhenUsed/>
    <w:rsid w:val="00035E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426</Words>
  <Characters>2780</Characters>
  <Application>Microsoft Office Word</Application>
  <DocSecurity>0</DocSecurity>
  <Lines>120</Lines>
  <Paragraphs>86</Paragraphs>
  <ScaleCrop>false</ScaleCrop>
  <Company>Author-it Software Corporation Ltd.</Company>
  <LinksUpToDate>false</LinksUpToDate>
  <CharactersWithSpaces>3120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AMPR312 Bone game meat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2025-03-01T14:24:00Z</dcterms:created>
  <dcterms:modified xsi:type="dcterms:W3CDTF">2025-03-01T14:24:00Z</dcterms:modified>
</cp:coreProperties>
</file>