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221" w:rsidP="00432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AMPQUA411 Calculate carcase yield in a boning room</w:t>
      </w:r>
      <w:r>
        <w:fldChar w:fldCharType="end"/>
      </w:r>
    </w:p>
    <w:p w:rsidR="00432221" w:rsidP="00432221">
      <w:pPr>
        <w:pStyle w:val="Version"/>
        <w:sectPr w:rsidSect="00DD7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930" w:rsidP="00DD7930">
      <w:pPr>
        <w:pStyle w:val="SuperHeading"/>
      </w:pPr>
      <w:r w:rsidRPr="00DD7930">
        <w:t>AMPQUA411 Calculate carcase yield in a boning room</w:t>
      </w:r>
    </w:p>
    <w:p w:rsidR="00000000" w:rsidRPr="00DD7930" w:rsidP="00DD7930">
      <w:pPr>
        <w:pStyle w:val="Heading1"/>
      </w:pPr>
      <w:bookmarkStart w:id="1" w:name="O_1259399"/>
      <w:bookmarkEnd w:id="1"/>
      <w:r w:rsidRPr="00DD79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Comments</w:t>
            </w:r>
          </w:p>
        </w:tc>
      </w:tr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This version released with AMP Australian Meat Processing Training Package Version 8.0.</w:t>
            </w:r>
          </w:p>
        </w:tc>
      </w:tr>
    </w:tbl>
    <w:p w:rsidR="00000000" w:rsidRPr="00DD7930" w:rsidP="00DD7930">
      <w:pPr>
        <w:pStyle w:val="BodyText"/>
      </w:pPr>
    </w:p>
    <w:p w:rsidR="00000000" w:rsidRPr="00DD7930" w:rsidP="00DD7930">
      <w:pPr>
        <w:pStyle w:val="AllowPageBreak"/>
      </w:pPr>
    </w:p>
    <w:p w:rsidR="00000000" w:rsidRPr="00DD7930" w:rsidP="00DD7930">
      <w:pPr>
        <w:pStyle w:val="Heading1"/>
      </w:pPr>
      <w:bookmarkStart w:id="2" w:name="O_1259400"/>
      <w:bookmarkEnd w:id="2"/>
      <w:r w:rsidRPr="00DD7930">
        <w:t>Application</w:t>
      </w:r>
    </w:p>
    <w:p w:rsidR="00000000" w:rsidRPr="00DD7930" w:rsidP="00432221">
      <w:pPr>
        <w:pStyle w:val="BodyText"/>
      </w:pPr>
      <w:r w:rsidRPr="00DD7930">
        <w:t>This unit describes the skills and knowledge required to calculate carcase an</w:t>
      </w:r>
      <w:r w:rsidRPr="00DD7930">
        <w:t>d product yield rates in a boning room. It also covers the causes of variation in yields achieved in a boning room.</w:t>
      </w:r>
    </w:p>
    <w:p w:rsidR="00000000" w:rsidRPr="00DD7930" w:rsidP="00432221">
      <w:pPr>
        <w:pStyle w:val="BodyText"/>
      </w:pPr>
      <w:r w:rsidRPr="00DD7930">
        <w:t>This unit is applicable to quality assurance officers and boning room supervisors who are required to calculate carcase and product yields f</w:t>
      </w:r>
      <w:r w:rsidRPr="00DD7930">
        <w:t>or a variety of classes of animal. Individuals work under broad direction and take responsibility for their own work, and provide and communicate solutions to a range of predictable problems.</w:t>
      </w:r>
    </w:p>
    <w:p w:rsidR="00000000" w:rsidRPr="00DD7930" w:rsidP="00432221">
      <w:pPr>
        <w:pStyle w:val="BodyText"/>
      </w:pPr>
      <w:r w:rsidRPr="00DD7930">
        <w:t>All work must be carried out to comply with workplace procedures</w:t>
      </w:r>
      <w:r w:rsidRPr="00DD7930">
        <w:t>, according to state/territory health and safety, food and meat safety regulations, legislation and standards that apply to the workplace.</w:t>
      </w:r>
    </w:p>
    <w:p w:rsidR="00000000" w:rsidRPr="00DD7930" w:rsidP="00432221">
      <w:pPr>
        <w:pStyle w:val="BodyText"/>
      </w:pPr>
      <w:r w:rsidRPr="00DD7930">
        <w:t>No licensing, legislative or certification requirements are known to apply to this unit at the time of publication.</w:t>
      </w:r>
    </w:p>
    <w:p w:rsidR="00000000" w:rsidRPr="00DD7930" w:rsidP="00DD7930">
      <w:pPr>
        <w:pStyle w:val="Heading1"/>
      </w:pPr>
      <w:bookmarkStart w:id="3" w:name="O_1259401"/>
      <w:bookmarkEnd w:id="3"/>
      <w:r w:rsidRPr="00DD7930">
        <w:t>Pre-requisite Unit</w:t>
      </w:r>
    </w:p>
    <w:p w:rsidR="00000000" w:rsidRPr="00DD7930" w:rsidP="00432221">
      <w:pPr>
        <w:pStyle w:val="BodyText"/>
      </w:pPr>
      <w:r w:rsidRPr="00DD7930">
        <w:t>Nil</w:t>
      </w:r>
    </w:p>
    <w:p w:rsidR="00000000" w:rsidRPr="00DD7930" w:rsidP="00DD7930">
      <w:pPr>
        <w:pStyle w:val="Heading1"/>
      </w:pPr>
      <w:bookmarkStart w:id="4" w:name="O_1259403"/>
      <w:bookmarkEnd w:id="4"/>
      <w:r w:rsidRPr="00DD7930">
        <w:t>Unit Sector</w:t>
      </w:r>
    </w:p>
    <w:p w:rsidR="00000000" w:rsidRPr="00DD7930" w:rsidP="00432221">
      <w:pPr>
        <w:pStyle w:val="BodyText"/>
      </w:pPr>
      <w:r w:rsidRPr="00DD7930">
        <w:t>Quality Assurance (QUA)</w:t>
      </w:r>
    </w:p>
    <w:p w:rsidR="00000000" w:rsidRPr="00DD7930" w:rsidP="00DD7930">
      <w:pPr>
        <w:pStyle w:val="Heading1"/>
      </w:pPr>
      <w:bookmarkStart w:id="5" w:name="O_1259404"/>
      <w:bookmarkEnd w:id="5"/>
      <w:r w:rsidRPr="00DD79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Performance Criteria</w:t>
            </w:r>
          </w:p>
        </w:tc>
      </w:tr>
      <w:tr w:rsidTr="0043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1.1 Establish the classes of animal that impact on carcase yields</w:t>
            </w:r>
          </w:p>
          <w:p w:rsidR="00000000" w:rsidRPr="00DD7930" w:rsidP="00DD7930">
            <w:pPr>
              <w:pStyle w:val="BodyText"/>
            </w:pPr>
            <w:r w:rsidRPr="00DD7930">
              <w:t>1.2 Determine the variables that impact on carcase yields</w:t>
            </w:r>
          </w:p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1.3 Identify he</w:t>
            </w:r>
            <w:r w:rsidRPr="00DD7930">
              <w:t>alth, safety and food safety hazards for the work task, and implement control measures</w:t>
            </w:r>
          </w:p>
        </w:tc>
      </w:tr>
      <w:tr w:rsidTr="0043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2. Calculate yield of a single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2.1 Establish the carcase weight to be used for calculation according to workplace specifications</w:t>
            </w:r>
          </w:p>
          <w:p w:rsidR="00000000" w:rsidRPr="00DD7930" w:rsidP="00DD7930">
            <w:pPr>
              <w:pStyle w:val="BodyText"/>
            </w:pPr>
            <w:r w:rsidRPr="00DD7930">
              <w:t>2.2 Confirm class of animal to be assessed according to workplace requirements</w:t>
            </w:r>
          </w:p>
          <w:p w:rsidR="00000000" w:rsidRPr="00DD7930" w:rsidP="00DD7930">
            <w:pPr>
              <w:pStyle w:val="BodyText"/>
            </w:pPr>
            <w:r w:rsidRPr="00DD7930">
              <w:t>2.3 Identify and weigh cuts that constitute a full set</w:t>
            </w:r>
          </w:p>
          <w:p w:rsidR="00000000" w:rsidRPr="00DD7930" w:rsidP="00DD7930">
            <w:pPr>
              <w:pStyle w:val="BodyText"/>
            </w:pPr>
            <w:r w:rsidRPr="00DD7930">
              <w:t>2.4 Identify and weigh other meat products recovered, including trim and other meat recovered</w:t>
            </w:r>
          </w:p>
          <w:p w:rsidR="00000000" w:rsidRPr="00DD7930" w:rsidP="00DD7930">
            <w:pPr>
              <w:pStyle w:val="BodyText"/>
            </w:pPr>
            <w:r w:rsidRPr="00DD7930">
              <w:t>2.5 Identify and weigh fat a</w:t>
            </w:r>
            <w:r w:rsidRPr="00DD7930">
              <w:t>nd bones, including rib frames and H bone waste</w:t>
            </w:r>
          </w:p>
          <w:p w:rsidR="00000000" w:rsidRPr="00DD7930" w:rsidP="00DD7930">
            <w:pPr>
              <w:pStyle w:val="BodyText"/>
            </w:pPr>
            <w:r w:rsidRPr="00DD7930">
              <w:t>2.6 Calculate percentage yield of the full set, total meat, fat and bone</w:t>
            </w:r>
          </w:p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2.7 Perform tasks according to health and safety, hygiene and workplace requirements</w:t>
            </w:r>
          </w:p>
        </w:tc>
      </w:tr>
      <w:tr w:rsidTr="0043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3. Calculate yield of a single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3.1 Identi</w:t>
            </w:r>
            <w:r w:rsidRPr="00DD7930">
              <w:t>fy and weigh individual cuts to calculate yield</w:t>
            </w:r>
          </w:p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3.2 Calculate percentage yield for each muscle group</w:t>
            </w:r>
          </w:p>
        </w:tc>
      </w:tr>
      <w:tr w:rsidTr="0043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4. Calculate carcase and product yield for a production period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4.1 Identify and collect production run weights for cuts that constitute the full set</w:t>
            </w:r>
          </w:p>
          <w:p w:rsidR="00000000" w:rsidRPr="00DD7930" w:rsidP="00DD7930">
            <w:pPr>
              <w:pStyle w:val="BodyText"/>
            </w:pPr>
            <w:r w:rsidRPr="00DD7930">
              <w:t>4.2 I</w:t>
            </w:r>
            <w:r w:rsidRPr="00DD7930">
              <w:t>dentify and collect production run weights for other meat recovered</w:t>
            </w:r>
          </w:p>
          <w:p w:rsidR="00000000" w:rsidRPr="00DD7930" w:rsidP="00DD7930">
            <w:pPr>
              <w:pStyle w:val="BodyText"/>
            </w:pPr>
            <w:r w:rsidRPr="00DD7930">
              <w:t>4.3 Calculate total meat yield</w:t>
            </w:r>
          </w:p>
          <w:p w:rsidR="00000000" w:rsidRPr="00DD7930" w:rsidP="00DD7930">
            <w:pPr>
              <w:pStyle w:val="BodyText"/>
            </w:pPr>
            <w:r w:rsidRPr="00DD7930">
              <w:t>4.4 Determine appropriate expected yields</w:t>
            </w:r>
          </w:p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4.5 Compare results with company tolerances for differences between achieved and expected yields</w:t>
            </w:r>
          </w:p>
        </w:tc>
      </w:tr>
      <w:tr w:rsidTr="004322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 xml:space="preserve">5. Identify ways </w:t>
            </w:r>
            <w:r w:rsidRPr="00DD7930">
              <w:t>to correct differences between achieved and expected yields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5.1 Determine potential causes of differences between actual and expected yields according to workplace specifications</w:t>
            </w:r>
          </w:p>
          <w:p w:rsidR="00000000" w:rsidRPr="00DD7930" w:rsidP="00DD7930">
            <w:pPr>
              <w:pStyle w:val="BodyText"/>
            </w:pPr>
            <w:r w:rsidRPr="00DD7930">
              <w:t>5.2 Report on potential methods to achieve expected yields according to workplace requirements</w:t>
            </w:r>
          </w:p>
        </w:tc>
      </w:tr>
    </w:tbl>
    <w:p w:rsidR="00000000" w:rsidRPr="00DD7930" w:rsidP="00DD7930">
      <w:pPr>
        <w:pStyle w:val="BodyText"/>
      </w:pPr>
    </w:p>
    <w:p w:rsidR="00000000" w:rsidRPr="00DD7930" w:rsidP="00DD7930">
      <w:pPr>
        <w:pStyle w:val="AllowPageBreak"/>
      </w:pPr>
    </w:p>
    <w:p w:rsidR="00000000" w:rsidRPr="00DD7930" w:rsidP="00DD7930">
      <w:pPr>
        <w:pStyle w:val="Heading1"/>
      </w:pPr>
      <w:bookmarkStart w:id="6" w:name="O_1259405"/>
      <w:bookmarkEnd w:id="6"/>
      <w:r w:rsidRPr="00DD7930">
        <w:t>Foundation Skills</w:t>
      </w:r>
    </w:p>
    <w:p w:rsidR="00000000" w:rsidRPr="00432221" w:rsidP="00432221">
      <w:pPr>
        <w:pStyle w:val="BodyText"/>
        <w:rPr>
          <w:i/>
        </w:rPr>
      </w:pPr>
      <w:r w:rsidRPr="00432221">
        <w:rPr>
          <w:rStyle w:val="Emphasis"/>
        </w:rPr>
        <w:t>This section describes those language, literacy, numeracy and employment skills that are essential for performance in this</w:t>
      </w:r>
      <w:r w:rsidRPr="00432221">
        <w:rPr>
          <w:rStyle w:val="Emphasis"/>
        </w:rPr>
        <w:t xml:space="preserve">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Description</w:t>
            </w:r>
          </w:p>
        </w:tc>
      </w:tr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ListBullet"/>
              <w:rPr>
                <w:lang w:val="en-NZ"/>
              </w:rPr>
            </w:pPr>
            <w:r w:rsidRPr="00DD7930">
              <w:t xml:space="preserve">Interpret workplace procedures and legislative responsibilities </w:t>
            </w:r>
          </w:p>
        </w:tc>
      </w:tr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ListBullet"/>
              <w:rPr>
                <w:lang w:val="en-NZ"/>
              </w:rPr>
            </w:pPr>
            <w:r w:rsidRPr="00DD7930">
              <w:t>Record weights using digital and/or paper-based formats</w:t>
            </w:r>
          </w:p>
        </w:tc>
      </w:tr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ListBullet"/>
            </w:pPr>
            <w:r w:rsidRPr="00DD7930">
              <w:t>Carry out calculations to identify yields, including percentages (%)</w:t>
            </w:r>
          </w:p>
          <w:p w:rsidR="00000000" w:rsidRPr="00DD7930" w:rsidP="00DD7930">
            <w:pPr>
              <w:pStyle w:val="ListBullet"/>
            </w:pPr>
            <w:r w:rsidRPr="00DD7930">
              <w:t>Weigh cuts of meat (g, kg, T)</w:t>
            </w:r>
          </w:p>
          <w:p w:rsidR="00000000" w:rsidRPr="00DD7930" w:rsidP="00DD7930">
            <w:pPr>
              <w:pStyle w:val="ListBullet"/>
            </w:pPr>
            <w:r w:rsidRPr="00DD7930">
              <w:t xml:space="preserve">Calculate actual and expected carcase yields </w:t>
            </w:r>
          </w:p>
        </w:tc>
      </w:tr>
    </w:tbl>
    <w:p w:rsidR="00000000" w:rsidRPr="00DD7930" w:rsidP="00DD7930">
      <w:pPr>
        <w:pStyle w:val="BodyText"/>
      </w:pPr>
    </w:p>
    <w:p w:rsidR="00000000" w:rsidRPr="00DD7930" w:rsidP="00DD7930">
      <w:pPr>
        <w:pStyle w:val="AllowPageBreak"/>
      </w:pPr>
    </w:p>
    <w:p w:rsidR="00000000" w:rsidRPr="00DD7930" w:rsidP="00DD7930">
      <w:pPr>
        <w:pStyle w:val="Heading1"/>
      </w:pPr>
      <w:bookmarkStart w:id="7" w:name="O_1259407"/>
      <w:bookmarkEnd w:id="7"/>
      <w:r w:rsidRPr="00DD79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Bold"/>
              <w:rPr>
                <w:lang w:val="en-NZ"/>
              </w:rPr>
            </w:pPr>
            <w:r w:rsidRPr="00DD7930">
              <w:t>Equivalence status</w:t>
            </w:r>
          </w:p>
        </w:tc>
      </w:tr>
      <w:tr w:rsidTr="00DD79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AMPQUA411 Calculate carcase yield in a boning room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AMPX312 Calculate carcase yield in a boning room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Unit sector code updated</w:t>
            </w:r>
          </w:p>
          <w:p w:rsidR="00000000" w:rsidRPr="00DD7930" w:rsidP="00DD7930">
            <w:pPr>
              <w:pStyle w:val="BodyText"/>
            </w:pPr>
            <w:r w:rsidRPr="00DD7930">
              <w:t>Foundation Skills updated and Core Skills for Work information removed</w:t>
            </w:r>
          </w:p>
          <w:p w:rsidR="00000000" w:rsidP="00DD7930">
            <w:pPr>
              <w:pStyle w:val="BodyText"/>
              <w:rPr>
                <w:lang w:val="en-NZ"/>
              </w:rPr>
            </w:pPr>
            <w:r w:rsidRPr="00DD7930">
              <w:t>Performance Evidence, Knowledge</w:t>
            </w:r>
            <w:r w:rsidRPr="00DD7930">
              <w:t xml:space="preserve">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930" w:rsidP="00DD7930">
            <w:pPr>
              <w:pStyle w:val="BodyText"/>
            </w:pPr>
            <w:r w:rsidRPr="00DD7930">
              <w:t>Equivalent</w:t>
            </w:r>
          </w:p>
        </w:tc>
      </w:tr>
    </w:tbl>
    <w:p w:rsidR="00000000" w:rsidRPr="00DD7930" w:rsidP="00DD7930">
      <w:pPr>
        <w:pStyle w:val="BodyText"/>
      </w:pPr>
    </w:p>
    <w:p w:rsidR="00000000" w:rsidRPr="00DD7930" w:rsidP="00DD7930">
      <w:pPr>
        <w:pStyle w:val="AllowPageBreak"/>
      </w:pPr>
    </w:p>
    <w:p w:rsidR="00000000" w:rsidRPr="00DD7930" w:rsidP="00DD7930">
      <w:pPr>
        <w:pStyle w:val="Heading1"/>
      </w:pPr>
      <w:bookmarkStart w:id="8" w:name="O_1259414"/>
      <w:bookmarkEnd w:id="8"/>
      <w:r w:rsidRPr="00DD7930">
        <w:t>Links</w:t>
      </w:r>
    </w:p>
    <w:p w:rsidR="00000000" w:rsidRPr="00DD7930" w:rsidP="00432221">
      <w:pPr>
        <w:pStyle w:val="BodyText"/>
      </w:pPr>
      <w:r w:rsidRPr="00DD7930">
        <w:t xml:space="preserve">Companion Volumes, including </w:t>
      </w:r>
      <w:r w:rsidRPr="00DD7930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61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7930" w:rsidP="00DD7930"/>
    <w:sectPr w:rsidSect="00DD7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30" w:rsidRPr="00432221" w:rsidP="00432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1" w:rsidP="00DD7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221" w:rsidP="00DD7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2221" w:rsidP="00DD7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930" w:rsidRPr="00432221" w:rsidP="00432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221" w:rsidRPr="002D2AF8" w:rsidP="00DD7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AMPQUA411 Calculate carcase yield in a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32221" w:rsidP="00DD7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869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6B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930"/>
  </w:style>
  <w:style w:type="character" w:customStyle="1" w:styleId="Heading1Char">
    <w:name w:val="Heading 1 Char"/>
    <w:basedOn w:val="DefaultParagraphFont"/>
    <w:link w:val="Heading1"/>
    <w:rsid w:val="00DD7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9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7930"/>
    <w:rPr>
      <w:i/>
    </w:rPr>
  </w:style>
  <w:style w:type="paragraph" w:customStyle="1" w:styleId="SuperHeading">
    <w:name w:val="SuperHeading"/>
    <w:basedOn w:val="Normal"/>
    <w:rsid w:val="00DD7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7930"/>
    <w:rPr>
      <w:b/>
    </w:rPr>
  </w:style>
  <w:style w:type="character" w:customStyle="1" w:styleId="Heading2Char">
    <w:name w:val="Heading 2 Char"/>
    <w:basedOn w:val="DefaultParagraphFont"/>
    <w:link w:val="Heading2"/>
    <w:rsid w:val="00DD7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930"/>
    <w:rPr>
      <w:b/>
      <w:spacing w:val="0"/>
    </w:rPr>
  </w:style>
  <w:style w:type="paragraph" w:customStyle="1" w:styleId="SuperTitle">
    <w:name w:val="SuperTitle"/>
    <w:basedOn w:val="Title"/>
    <w:rsid w:val="00DD7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9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930"/>
  </w:style>
  <w:style w:type="paragraph" w:styleId="TableofFigures">
    <w:name w:val="table of figures"/>
    <w:basedOn w:val="Normal"/>
    <w:next w:val="Normal"/>
    <w:semiHidden/>
    <w:rsid w:val="00DD7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9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930"/>
    <w:rPr>
      <w:rFonts w:ascii="Wingdings" w:hAnsi="Wingdings"/>
    </w:rPr>
  </w:style>
  <w:style w:type="paragraph" w:customStyle="1" w:styleId="TableHeading">
    <w:name w:val="Table Heading"/>
    <w:basedOn w:val="HeadingBase"/>
    <w:rsid w:val="00DD7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930"/>
    <w:rPr>
      <w:color w:val="0033CC"/>
      <w:u w:val="none"/>
    </w:rPr>
  </w:style>
  <w:style w:type="paragraph" w:customStyle="1" w:styleId="BodyTextRight">
    <w:name w:val="Body Text Right"/>
    <w:basedOn w:val="BodyText"/>
    <w:rsid w:val="00DD7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9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930"/>
    <w:rPr>
      <w:sz w:val="32"/>
    </w:rPr>
  </w:style>
  <w:style w:type="paragraph" w:customStyle="1" w:styleId="HeadingProcedure">
    <w:name w:val="Heading Procedure"/>
    <w:basedOn w:val="HeadingBase"/>
    <w:next w:val="Normal"/>
    <w:rsid w:val="00DD7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930"/>
    <w:pPr>
      <w:spacing w:before="60" w:after="60"/>
    </w:pPr>
  </w:style>
  <w:style w:type="paragraph" w:styleId="ListContinue">
    <w:name w:val="List Continue"/>
    <w:basedOn w:val="List"/>
    <w:rsid w:val="00DD7930"/>
    <w:pPr>
      <w:ind w:firstLine="0"/>
    </w:pPr>
  </w:style>
  <w:style w:type="paragraph" w:customStyle="1" w:styleId="ListNote">
    <w:name w:val="List Note"/>
    <w:basedOn w:val="List"/>
    <w:rsid w:val="00DD7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930"/>
    <w:rPr>
      <w:rFonts w:ascii="Courier New" w:hAnsi="Courier New"/>
    </w:rPr>
  </w:style>
  <w:style w:type="paragraph" w:customStyle="1" w:styleId="NoteBullet">
    <w:name w:val="Note Bullet"/>
    <w:basedOn w:val="Note"/>
    <w:rsid w:val="00DD7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9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930"/>
    <w:rPr>
      <w:b/>
      <w:smallCaps/>
    </w:rPr>
  </w:style>
  <w:style w:type="paragraph" w:customStyle="1" w:styleId="TableListNumber">
    <w:name w:val="Table List Number"/>
    <w:basedOn w:val="ListNumber"/>
    <w:rsid w:val="00DD7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930"/>
    <w:pPr>
      <w:numPr>
        <w:numId w:val="8"/>
      </w:numPr>
    </w:pPr>
  </w:style>
  <w:style w:type="paragraph" w:customStyle="1" w:styleId="ListAlpha2">
    <w:name w:val="List Alpha 2"/>
    <w:basedOn w:val="List2"/>
    <w:rsid w:val="00DD7930"/>
    <w:pPr>
      <w:numPr>
        <w:numId w:val="7"/>
      </w:numPr>
    </w:pPr>
  </w:style>
  <w:style w:type="paragraph" w:styleId="List2">
    <w:name w:val="List 2"/>
    <w:basedOn w:val="BodyText"/>
    <w:rsid w:val="00DD7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9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9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930"/>
    <w:pPr>
      <w:numPr>
        <w:numId w:val="3"/>
      </w:numPr>
    </w:pPr>
  </w:style>
  <w:style w:type="paragraph" w:styleId="ListContinue2">
    <w:name w:val="List Continue 2"/>
    <w:basedOn w:val="List2"/>
    <w:rsid w:val="00DD7930"/>
    <w:pPr>
      <w:ind w:firstLine="0"/>
    </w:pPr>
  </w:style>
  <w:style w:type="paragraph" w:styleId="ListContinue3">
    <w:name w:val="List Continue 3"/>
    <w:basedOn w:val="List3"/>
    <w:rsid w:val="00DD7930"/>
    <w:pPr>
      <w:ind w:left="1021" w:firstLine="0"/>
    </w:pPr>
  </w:style>
  <w:style w:type="paragraph" w:styleId="ListContinue4">
    <w:name w:val="List Continue 4"/>
    <w:basedOn w:val="List4"/>
    <w:rsid w:val="00DD7930"/>
    <w:pPr>
      <w:ind w:firstLine="0"/>
    </w:pPr>
  </w:style>
  <w:style w:type="paragraph" w:styleId="ListContinue5">
    <w:name w:val="List Continue 5"/>
    <w:basedOn w:val="List5"/>
    <w:rsid w:val="00DD7930"/>
    <w:pPr>
      <w:ind w:firstLine="0"/>
    </w:pPr>
  </w:style>
  <w:style w:type="paragraph" w:styleId="ListNumber3">
    <w:name w:val="List Number 3"/>
    <w:basedOn w:val="List3"/>
    <w:rsid w:val="00DD7930"/>
    <w:pPr>
      <w:numPr>
        <w:numId w:val="4"/>
      </w:numPr>
    </w:pPr>
  </w:style>
  <w:style w:type="paragraph" w:styleId="ListNumber4">
    <w:name w:val="List Number 4"/>
    <w:basedOn w:val="List4"/>
    <w:rsid w:val="00DD7930"/>
    <w:pPr>
      <w:numPr>
        <w:numId w:val="5"/>
      </w:numPr>
    </w:pPr>
  </w:style>
  <w:style w:type="paragraph" w:styleId="ListNumber5">
    <w:name w:val="List Number 5"/>
    <w:basedOn w:val="List5"/>
    <w:rsid w:val="00DD7930"/>
    <w:pPr>
      <w:numPr>
        <w:numId w:val="6"/>
      </w:numPr>
    </w:pPr>
  </w:style>
  <w:style w:type="paragraph" w:styleId="BlockText">
    <w:name w:val="Block Text"/>
    <w:basedOn w:val="Normal"/>
    <w:rsid w:val="00DD7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930"/>
    <w:rPr>
      <w:sz w:val="16"/>
      <w:vertAlign w:val="superscript"/>
    </w:rPr>
  </w:style>
  <w:style w:type="character" w:customStyle="1" w:styleId="Symbols">
    <w:name w:val="Symbols"/>
    <w:basedOn w:val="DefaultParagraphFont"/>
    <w:rsid w:val="00DD7930"/>
    <w:rPr>
      <w:rFonts w:ascii="Symbol" w:hAnsi="Symbol"/>
    </w:rPr>
  </w:style>
  <w:style w:type="character" w:customStyle="1" w:styleId="MenuOptions">
    <w:name w:val="Menu Options"/>
    <w:basedOn w:val="DefaultParagraphFont"/>
    <w:rsid w:val="00DD7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930"/>
    <w:rPr>
      <w:b/>
    </w:rPr>
  </w:style>
  <w:style w:type="character" w:customStyle="1" w:styleId="Underlined">
    <w:name w:val="Underlined"/>
    <w:basedOn w:val="DefaultParagraphFont"/>
    <w:rsid w:val="00DD7930"/>
    <w:rPr>
      <w:u w:val="single"/>
    </w:rPr>
  </w:style>
  <w:style w:type="paragraph" w:customStyle="1" w:styleId="TableBodyTextRight">
    <w:name w:val="Table Body Text Right"/>
    <w:basedOn w:val="TableBodyText"/>
    <w:rsid w:val="00DD7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930"/>
    <w:rPr>
      <w:sz w:val="18"/>
    </w:rPr>
  </w:style>
  <w:style w:type="paragraph" w:customStyle="1" w:styleId="BodySmallRight">
    <w:name w:val="Body Small Right"/>
    <w:basedOn w:val="BodyTextRight"/>
    <w:rsid w:val="00DD7930"/>
    <w:rPr>
      <w:sz w:val="18"/>
      <w:szCs w:val="18"/>
    </w:rPr>
  </w:style>
  <w:style w:type="paragraph" w:customStyle="1" w:styleId="MarginEdition">
    <w:name w:val="Margin Edition"/>
    <w:basedOn w:val="MarginNote"/>
    <w:rsid w:val="00DD7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930"/>
    <w:rPr>
      <w:sz w:val="2"/>
      <w:szCs w:val="2"/>
    </w:rPr>
  </w:style>
  <w:style w:type="character" w:customStyle="1" w:styleId="Small">
    <w:name w:val="Small"/>
    <w:basedOn w:val="DefaultParagraphFont"/>
    <w:rsid w:val="00DD7930"/>
    <w:rPr>
      <w:sz w:val="16"/>
    </w:rPr>
  </w:style>
  <w:style w:type="paragraph" w:customStyle="1" w:styleId="WideTable">
    <w:name w:val="Wide Table"/>
    <w:basedOn w:val="Normal"/>
    <w:rsid w:val="00DD7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930"/>
  </w:style>
  <w:style w:type="paragraph" w:styleId="Quote">
    <w:name w:val="Quote"/>
    <w:basedOn w:val="Heading1"/>
    <w:link w:val="QuoteChar"/>
    <w:qFormat/>
    <w:rsid w:val="00DD7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930"/>
    <w:pPr>
      <w:pageBreakBefore/>
    </w:pPr>
  </w:style>
  <w:style w:type="paragraph" w:customStyle="1" w:styleId="Border">
    <w:name w:val="Border"/>
    <w:basedOn w:val="Normal"/>
    <w:qFormat/>
    <w:rsid w:val="00DD7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930"/>
    <w:rPr>
      <w:u w:val="single"/>
    </w:rPr>
  </w:style>
  <w:style w:type="character" w:customStyle="1" w:styleId="BoldandItalics">
    <w:name w:val="Bold and Italics"/>
    <w:qFormat/>
    <w:rsid w:val="00DD7930"/>
    <w:rPr>
      <w:b/>
      <w:i/>
      <w:u w:val="none"/>
    </w:rPr>
  </w:style>
  <w:style w:type="paragraph" w:styleId="BalloonText">
    <w:name w:val="Balloon Text"/>
    <w:basedOn w:val="Normal"/>
    <w:link w:val="BalloonTextChar"/>
    <w:rsid w:val="00DD7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9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2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3713</Characters>
  <Application>Microsoft Office Word</Application>
  <DocSecurity>0</DocSecurity>
  <Lines>137</Lines>
  <Paragraphs>85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AMPQUA411 Calculate carcase yield in a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