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4B3" w:rsidP="00B40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AMPQUA404 Maintain a Meat Hygiene Assessment program</w:t>
      </w:r>
      <w:r>
        <w:fldChar w:fldCharType="end"/>
      </w:r>
    </w:p>
    <w:p w:rsidR="00B404B3" w:rsidP="00B404B3">
      <w:pPr>
        <w:pStyle w:val="Version"/>
        <w:sectPr w:rsidSect="006D1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1C1" w:rsidP="006D11C1">
      <w:pPr>
        <w:pStyle w:val="SuperHeading"/>
      </w:pPr>
      <w:r w:rsidRPr="006D11C1">
        <w:t>AMPQUA404 Maintain a Meat Hygiene Assessment program</w:t>
      </w:r>
    </w:p>
    <w:p w:rsidR="00000000" w:rsidRPr="006D11C1" w:rsidP="006D11C1">
      <w:pPr>
        <w:pStyle w:val="Heading1"/>
      </w:pPr>
      <w:bookmarkStart w:id="1" w:name="O_1259266"/>
      <w:bookmarkEnd w:id="1"/>
      <w:r w:rsidRPr="006D11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Comments</w:t>
            </w:r>
          </w:p>
        </w:tc>
      </w:tr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>This version released with AMP Australian Meat Processing Training Package Version 8.0.</w:t>
            </w:r>
          </w:p>
        </w:tc>
      </w:tr>
    </w:tbl>
    <w:p w:rsidR="00000000" w:rsidRPr="006D11C1" w:rsidP="006D11C1">
      <w:pPr>
        <w:pStyle w:val="BodyText"/>
      </w:pPr>
    </w:p>
    <w:p w:rsidR="00000000" w:rsidRPr="006D11C1" w:rsidP="006D11C1">
      <w:pPr>
        <w:pStyle w:val="AllowPageBreak"/>
      </w:pPr>
    </w:p>
    <w:p w:rsidR="00000000" w:rsidRPr="006D11C1" w:rsidP="006D11C1">
      <w:pPr>
        <w:pStyle w:val="Heading1"/>
      </w:pPr>
      <w:bookmarkStart w:id="2" w:name="O_1259267"/>
      <w:bookmarkEnd w:id="2"/>
      <w:r w:rsidRPr="006D11C1">
        <w:t>Application</w:t>
      </w:r>
    </w:p>
    <w:p w:rsidR="00000000" w:rsidRPr="006D11C1" w:rsidP="00B404B3">
      <w:pPr>
        <w:pStyle w:val="BodyText"/>
      </w:pPr>
      <w:r w:rsidRPr="006D11C1">
        <w:t>This unit describes the skills and knowledge required to implement a</w:t>
      </w:r>
      <w:r w:rsidRPr="006D11C1">
        <w:t>ll aspects of a product and process monitoring system in a slaughter premises and/or boning room.</w:t>
      </w:r>
    </w:p>
    <w:p w:rsidR="00000000" w:rsidRPr="006D11C1" w:rsidP="00B404B3">
      <w:pPr>
        <w:pStyle w:val="BodyText"/>
      </w:pPr>
      <w:r w:rsidRPr="006D11C1">
        <w:t>Meat Hygiene Assessment describes​ the application of two monitoring systems – the first relates to process controls in the production of the meat, and the se</w:t>
      </w:r>
      <w:r w:rsidRPr="006D11C1">
        <w:t>cond to the physical condition of meat.</w:t>
      </w:r>
    </w:p>
    <w:p w:rsidR="00000000" w:rsidRPr="006D11C1" w:rsidP="00B404B3">
      <w:pPr>
        <w:pStyle w:val="BodyText"/>
      </w:pPr>
      <w:r w:rsidRPr="006D11C1">
        <w:t>Process and product monitoring systems are mandatory in all meat industry export works, and staff undertaking monitoring duties must be trained in using these assessment systems.</w:t>
      </w:r>
    </w:p>
    <w:p w:rsidR="00000000" w:rsidRPr="006D11C1" w:rsidP="00B404B3">
      <w:pPr>
        <w:pStyle w:val="BodyText"/>
      </w:pPr>
      <w:r w:rsidRPr="006D11C1">
        <w:t xml:space="preserve">This unit applies to individuals who </w:t>
      </w:r>
      <w:r w:rsidRPr="006D11C1">
        <w:t>undertake regulatory, quality assurance and supervisory work overseeing the implementation of a Meat Hygiene Assessment (MHA) program in a meat processing premises.</w:t>
      </w:r>
    </w:p>
    <w:p w:rsidR="00000000" w:rsidRPr="006D11C1" w:rsidP="00B404B3">
      <w:pPr>
        <w:pStyle w:val="BodyText"/>
      </w:pPr>
      <w:r w:rsidRPr="006D11C1">
        <w:t>All work must be carried out to comply with workplace procedures, according to state/territ</w:t>
      </w:r>
      <w:r w:rsidRPr="006D11C1">
        <w:t>ory health and safety, food and meat safety regulations, legislation and standards that apply to the workplace.</w:t>
      </w:r>
    </w:p>
    <w:p w:rsidR="00000000" w:rsidRPr="006D11C1" w:rsidP="006D11C1">
      <w:pPr>
        <w:pStyle w:val="Heading1"/>
      </w:pPr>
      <w:bookmarkStart w:id="3" w:name="O_1259268"/>
      <w:bookmarkEnd w:id="3"/>
      <w:r w:rsidRPr="006D11C1">
        <w:t>Pre-requisite Unit</w:t>
      </w:r>
    </w:p>
    <w:p w:rsidR="00000000" w:rsidRPr="006D11C1" w:rsidP="00B404B3">
      <w:pPr>
        <w:pStyle w:val="BodyText"/>
      </w:pPr>
      <w:r w:rsidRPr="006D11C1">
        <w:t>The prerequisite units of competency for this unit are:</w:t>
      </w:r>
    </w:p>
    <w:p w:rsidR="00000000" w:rsidRPr="006D11C1" w:rsidP="006D11C1">
      <w:pPr>
        <w:pStyle w:val="ListBullet"/>
      </w:pPr>
      <w:r w:rsidRPr="006D11C1">
        <w:t>AMPQUA304 Perform carcase Meat Hygiene Assessment</w:t>
      </w:r>
    </w:p>
    <w:p w:rsidR="00000000" w:rsidRPr="006D11C1" w:rsidP="006D11C1">
      <w:pPr>
        <w:pStyle w:val="ListBullet"/>
      </w:pPr>
      <w:r w:rsidRPr="006D11C1">
        <w:t>AMPQUA305 Perform process monitoring for Meat Hygiene Assessment</w:t>
      </w:r>
    </w:p>
    <w:p w:rsidR="00000000" w:rsidRPr="006D11C1" w:rsidP="006D11C1">
      <w:pPr>
        <w:pStyle w:val="ListBullet"/>
      </w:pPr>
      <w:r w:rsidRPr="006D11C1">
        <w:t>AMPQUA306 Perform boning room Meat Hygiene Assessment</w:t>
      </w:r>
    </w:p>
    <w:p w:rsidR="00000000" w:rsidRPr="006D11C1" w:rsidP="006D11C1">
      <w:pPr>
        <w:pStyle w:val="ListBullet"/>
      </w:pPr>
      <w:r w:rsidRPr="006D11C1">
        <w:t>AMPQUA307 Perform offal Meat Hygiene Assessment.</w:t>
      </w:r>
    </w:p>
    <w:p w:rsidR="00000000" w:rsidRPr="006D11C1" w:rsidP="006D11C1">
      <w:pPr>
        <w:pStyle w:val="AllowPageBreak"/>
      </w:pPr>
    </w:p>
    <w:p w:rsidR="00000000" w:rsidRPr="006D11C1" w:rsidP="006D11C1">
      <w:pPr>
        <w:pStyle w:val="Heading1"/>
      </w:pPr>
      <w:bookmarkStart w:id="4" w:name="O_1259270"/>
      <w:bookmarkEnd w:id="4"/>
      <w:r w:rsidRPr="006D11C1">
        <w:t>Unit Sector</w:t>
      </w:r>
    </w:p>
    <w:p w:rsidR="00000000" w:rsidRPr="006D11C1" w:rsidP="00B404B3">
      <w:pPr>
        <w:pStyle w:val="BodyText"/>
      </w:pPr>
      <w:r w:rsidRPr="006D11C1">
        <w:t>Quality Assurance (QUA)</w:t>
      </w:r>
    </w:p>
    <w:p w:rsidR="00000000" w:rsidRPr="006D11C1" w:rsidP="006D11C1">
      <w:pPr>
        <w:pStyle w:val="Heading1"/>
      </w:pPr>
      <w:bookmarkStart w:id="5" w:name="O_1259271"/>
      <w:bookmarkEnd w:id="5"/>
      <w:r w:rsidRPr="006D11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Performance Criteria</w:t>
            </w:r>
          </w:p>
        </w:tc>
      </w:tr>
      <w:tr w:rsidTr="00B4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 xml:space="preserve">1. Oversee carcase meat hygiene assessment program </w:t>
            </w:r>
          </w:p>
          <w:p w:rsidR="00000000" w:rsidRPr="006D11C1" w:rsidP="006D11C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>1.1 Select samples for assessment according to approved sampling plan</w:t>
            </w:r>
          </w:p>
          <w:p w:rsidR="00000000" w:rsidRPr="006D11C1" w:rsidP="006D11C1">
            <w:pPr>
              <w:pStyle w:val="BodyText"/>
            </w:pPr>
            <w:r w:rsidRPr="006D11C1">
              <w:t>1.2 Conduct assessment using appropriate facilities, lighting and time</w:t>
            </w:r>
          </w:p>
          <w:p w:rsidR="00000000" w:rsidRPr="006D11C1" w:rsidP="006D11C1">
            <w:pPr>
              <w:pStyle w:val="BodyText"/>
            </w:pPr>
            <w:r w:rsidRPr="006D11C1">
              <w:t>1.3 Monitor products for defects according to agreed criteria and classification</w:t>
            </w:r>
          </w:p>
          <w:p w:rsidR="00000000" w:rsidRPr="006D11C1" w:rsidP="006D11C1">
            <w:pPr>
              <w:pStyle w:val="BodyText"/>
            </w:pPr>
            <w:r w:rsidRPr="006D11C1">
              <w:t>1.4 Scan carcases using approved</w:t>
            </w:r>
            <w:r w:rsidRPr="006D11C1">
              <w:t xml:space="preserve"> scanning lines</w:t>
            </w:r>
          </w:p>
          <w:p w:rsidR="00000000" w:rsidRPr="006D11C1" w:rsidP="006D11C1">
            <w:pPr>
              <w:pStyle w:val="BodyText"/>
            </w:pPr>
            <w:r w:rsidRPr="006D11C1">
              <w:t>1.5 Record defects using correct forms or electronic system</w:t>
            </w:r>
          </w:p>
          <w:p w:rsidR="00000000" w:rsidRPr="006D11C1" w:rsidP="006D11C1">
            <w:pPr>
              <w:pStyle w:val="BodyText"/>
            </w:pPr>
            <w:r w:rsidRPr="006D11C1">
              <w:t>1.6 Implement immediate corrective action for carcase defects</w:t>
            </w:r>
          </w:p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1.7 Monitor carcases according to workplace requirements for hygiene and sanitation, and workplace health and safety</w:t>
            </w:r>
          </w:p>
        </w:tc>
      </w:tr>
      <w:tr w:rsidTr="00B4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 xml:space="preserve">2. Oversee offal and/or carton meat hygiene assessment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>2.1 Select samples for assessment according to approved sampling plan</w:t>
            </w:r>
          </w:p>
          <w:p w:rsidR="00000000" w:rsidRPr="006D11C1" w:rsidP="006D11C1">
            <w:pPr>
              <w:pStyle w:val="BodyText"/>
            </w:pPr>
            <w:r w:rsidRPr="006D11C1">
              <w:t>2.2 Conduct assessment using appropriate facilities, lighting and time</w:t>
            </w:r>
          </w:p>
          <w:p w:rsidR="00000000" w:rsidRPr="006D11C1" w:rsidP="006D11C1">
            <w:pPr>
              <w:pStyle w:val="BodyText"/>
            </w:pPr>
            <w:r w:rsidRPr="006D11C1">
              <w:t>2.3 Monitor offal and/or carton meat for defects according to agreed criteria and classification</w:t>
            </w:r>
          </w:p>
          <w:p w:rsidR="00000000" w:rsidRPr="006D11C1" w:rsidP="006D11C1">
            <w:pPr>
              <w:pStyle w:val="BodyText"/>
            </w:pPr>
            <w:r w:rsidRPr="006D11C1">
              <w:t>2.4 Record defects using correct forms or electronic system</w:t>
            </w:r>
          </w:p>
          <w:p w:rsidR="00000000" w:rsidRPr="006D11C1" w:rsidP="006D11C1">
            <w:pPr>
              <w:pStyle w:val="BodyText"/>
            </w:pPr>
            <w:r w:rsidRPr="006D11C1">
              <w:t>2.5 Identify levels for triggering corrective actions</w:t>
            </w:r>
          </w:p>
          <w:p w:rsidR="00000000" w:rsidRPr="006D11C1" w:rsidP="006D11C1">
            <w:pPr>
              <w:pStyle w:val="BodyText"/>
            </w:pPr>
            <w:r w:rsidRPr="006D11C1">
              <w:t>2.6 Implement corrective action immediately f</w:t>
            </w:r>
            <w:r w:rsidRPr="006D11C1">
              <w:t>or offal and/or carton meat</w:t>
            </w:r>
          </w:p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 xml:space="preserve">2.7 Monitor offal and/or carton meat according to workplace requirements for hygiene and sanitation, and workplace health and safety </w:t>
            </w:r>
          </w:p>
        </w:tc>
      </w:tr>
      <w:tr w:rsidTr="00B4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3. Oversee process meat hygiene assessment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>3.1 Monitor process according to workplace</w:t>
            </w:r>
            <w:r w:rsidRPr="006D11C1">
              <w:t xml:space="preserve"> monitoring plan</w:t>
            </w:r>
          </w:p>
          <w:p w:rsidR="00000000" w:rsidRPr="006D11C1" w:rsidP="006D11C1">
            <w:pPr>
              <w:pStyle w:val="BodyText"/>
            </w:pPr>
            <w:r w:rsidRPr="006D11C1">
              <w:t>3.2 Record results on appropriate process monitoring sheets</w:t>
            </w:r>
          </w:p>
          <w:p w:rsidR="00000000" w:rsidRPr="006D11C1" w:rsidP="006D11C1">
            <w:pPr>
              <w:pStyle w:val="BodyText"/>
            </w:pPr>
            <w:r w:rsidRPr="006D11C1">
              <w:t>3.3 Rate process according to established criteria</w:t>
            </w:r>
          </w:p>
          <w:p w:rsidR="00000000" w:rsidRPr="006D11C1" w:rsidP="006D11C1">
            <w:pPr>
              <w:pStyle w:val="BodyText"/>
            </w:pPr>
            <w:r w:rsidRPr="006D11C1">
              <w:t xml:space="preserve">3.4 Implement corrective action immediately for any process non-conformance </w:t>
            </w:r>
          </w:p>
          <w:p w:rsidR="00000000" w:rsidRPr="006D11C1" w:rsidP="006D11C1">
            <w:pPr>
              <w:pStyle w:val="BodyText"/>
            </w:pPr>
            <w:r w:rsidRPr="006D11C1">
              <w:t>3.5 Calculate and record a conformity index after e</w:t>
            </w:r>
            <w:r w:rsidRPr="006D11C1">
              <w:t>ach process monitoring exercise</w:t>
            </w:r>
          </w:p>
          <w:p w:rsidR="00000000" w:rsidRPr="006D11C1" w:rsidP="006D11C1">
            <w:pPr>
              <w:pStyle w:val="BodyText"/>
            </w:pPr>
            <w:r w:rsidRPr="006D11C1">
              <w:t>3.6 Monitor process according to workplace requirements for hygiene and sanitation, and workplace health and safety</w:t>
            </w:r>
          </w:p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 xml:space="preserve">3.7 Track results of process monitoring over time, and reconcile with </w:t>
            </w:r>
            <w:r w:rsidRPr="006D11C1">
              <w:t>product monitoring outcomes</w:t>
            </w:r>
          </w:p>
        </w:tc>
      </w:tr>
      <w:tr w:rsidTr="00B4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4. Analys</w:t>
            </w:r>
            <w:r w:rsidRPr="006D11C1">
              <w:t>e data gathered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>4.1 Plot product and process monitoring results on simple trend charts</w:t>
            </w:r>
          </w:p>
          <w:p w:rsidR="00000000" w:rsidRPr="006D11C1" w:rsidP="006D11C1">
            <w:pPr>
              <w:pStyle w:val="BodyText"/>
            </w:pPr>
            <w:r w:rsidRPr="006D11C1">
              <w:t>4.2 Plot product and process monitoring result on control charts</w:t>
            </w:r>
          </w:p>
          <w:p w:rsidR="00000000" w:rsidRPr="006D11C1" w:rsidP="006D11C1">
            <w:pPr>
              <w:pStyle w:val="BodyText"/>
            </w:pPr>
            <w:r w:rsidRPr="006D11C1">
              <w:t>4.3 Interpret trends and take remedial or corrective actions as required</w:t>
            </w:r>
          </w:p>
        </w:tc>
      </w:tr>
    </w:tbl>
    <w:p w:rsidR="00000000" w:rsidRPr="006D11C1" w:rsidP="006D11C1">
      <w:pPr>
        <w:pStyle w:val="BodyText"/>
      </w:pPr>
    </w:p>
    <w:p w:rsidR="00000000" w:rsidRPr="006D11C1" w:rsidP="006D11C1">
      <w:pPr>
        <w:pStyle w:val="AllowPageBreak"/>
      </w:pPr>
    </w:p>
    <w:p w:rsidR="00000000" w:rsidRPr="006D11C1" w:rsidP="006D11C1">
      <w:pPr>
        <w:pStyle w:val="Heading1"/>
      </w:pPr>
      <w:bookmarkStart w:id="6" w:name="O_1259272"/>
      <w:bookmarkEnd w:id="6"/>
      <w:r w:rsidRPr="006D11C1">
        <w:t>Foundation Skills</w:t>
      </w:r>
    </w:p>
    <w:p w:rsidR="00000000" w:rsidRPr="00B404B3" w:rsidP="00B404B3">
      <w:pPr>
        <w:pStyle w:val="BodyText"/>
        <w:rPr>
          <w:i/>
        </w:rPr>
      </w:pPr>
      <w:r w:rsidRPr="00B404B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Description</w:t>
            </w:r>
          </w:p>
        </w:tc>
      </w:tr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ListBullet"/>
              <w:rPr>
                <w:lang w:val="en-NZ"/>
              </w:rPr>
            </w:pPr>
            <w:r w:rsidRPr="006D11C1">
              <w:t>Interpret regulati</w:t>
            </w:r>
            <w:r w:rsidRPr="006D11C1">
              <w:t>ons and guideline requirements for Meat Hygiene Assessment</w:t>
            </w:r>
          </w:p>
        </w:tc>
      </w:tr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ListBullet"/>
              <w:rPr>
                <w:lang w:val="en-NZ"/>
              </w:rPr>
            </w:pPr>
            <w:r w:rsidRPr="006D11C1">
              <w:t>Record results of monitoring using digital and/or paper-based formats</w:t>
            </w:r>
          </w:p>
        </w:tc>
      </w:tr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ListBullet"/>
              <w:rPr>
                <w:lang w:val="en-NZ"/>
              </w:rPr>
            </w:pPr>
            <w:r w:rsidRPr="006D11C1">
              <w:t xml:space="preserve">Communicate information to work colleagues to facilitate understanding of, and compliance with, </w:t>
            </w:r>
            <w:r w:rsidRPr="006D11C1">
              <w:t>the applicable standards and regulations</w:t>
            </w:r>
          </w:p>
        </w:tc>
      </w:tr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ListBullet"/>
            </w:pPr>
            <w:r w:rsidRPr="006D11C1">
              <w:t>Use formulae to develop a conformity index for monitoring processes</w:t>
            </w:r>
          </w:p>
          <w:p w:rsidR="00000000" w:rsidRPr="006D11C1" w:rsidP="006D11C1">
            <w:pPr>
              <w:pStyle w:val="ListBullet"/>
            </w:pPr>
            <w:r w:rsidRPr="006D11C1">
              <w:t>Use outcomes of conformity index to determine acceptable, marginal and unacceptable processing</w:t>
            </w:r>
          </w:p>
        </w:tc>
      </w:tr>
    </w:tbl>
    <w:p w:rsidR="00000000" w:rsidRPr="006D11C1" w:rsidP="006D11C1">
      <w:pPr>
        <w:pStyle w:val="BodyText"/>
      </w:pPr>
    </w:p>
    <w:p w:rsidR="00000000" w:rsidRPr="006D11C1" w:rsidP="006D11C1">
      <w:pPr>
        <w:pStyle w:val="AllowPageBreak"/>
      </w:pPr>
    </w:p>
    <w:p w:rsidR="00000000" w:rsidRPr="006D11C1" w:rsidP="006D11C1">
      <w:pPr>
        <w:pStyle w:val="Heading1"/>
      </w:pPr>
      <w:bookmarkStart w:id="7" w:name="O_1259274"/>
      <w:bookmarkEnd w:id="7"/>
      <w:r w:rsidRPr="006D11C1">
        <w:t>Unit Mapping Informa</w:t>
      </w:r>
      <w:r w:rsidRPr="006D11C1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Bold"/>
              <w:rPr>
                <w:lang w:val="en-NZ"/>
              </w:rPr>
            </w:pPr>
            <w:r w:rsidRPr="006D11C1">
              <w:t>Equivalence status</w:t>
            </w:r>
          </w:p>
        </w:tc>
      </w:tr>
      <w:tr w:rsidTr="006D1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AMPQUA404 Maintain a Meat Hygiene Assessment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AMPA401 Implement a Meat Hygiene Assessment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>Unit sector code updated</w:t>
            </w:r>
          </w:p>
          <w:p w:rsidR="00000000" w:rsidRPr="006D11C1" w:rsidP="006D11C1">
            <w:pPr>
              <w:pStyle w:val="BodyText"/>
            </w:pPr>
            <w:r w:rsidRPr="006D11C1">
              <w:t>Prerequisites added</w:t>
            </w:r>
          </w:p>
          <w:p w:rsidR="00000000" w:rsidRPr="006D11C1" w:rsidP="006D11C1">
            <w:pPr>
              <w:pStyle w:val="BodyText"/>
            </w:pPr>
            <w:r w:rsidRPr="006D11C1">
              <w:t>Performance Criteria clarified</w:t>
            </w:r>
          </w:p>
          <w:p w:rsidR="00000000" w:rsidRPr="006D11C1" w:rsidP="006D11C1">
            <w:pPr>
              <w:pStyle w:val="BodyText"/>
            </w:pPr>
            <w:r w:rsidRPr="006D11C1">
              <w:t>Foundation Skills added</w:t>
            </w:r>
          </w:p>
          <w:p w:rsidR="00000000" w:rsidP="006D11C1">
            <w:pPr>
              <w:pStyle w:val="BodyText"/>
              <w:rPr>
                <w:lang w:val="en-NZ"/>
              </w:rPr>
            </w:pPr>
            <w:r w:rsidRPr="006D11C1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C1" w:rsidP="006D11C1">
            <w:pPr>
              <w:pStyle w:val="BodyText"/>
            </w:pPr>
            <w:r w:rsidRPr="006D11C1">
              <w:t>Not equivalent</w:t>
            </w:r>
          </w:p>
        </w:tc>
      </w:tr>
    </w:tbl>
    <w:p w:rsidR="00000000" w:rsidRPr="006D11C1" w:rsidP="006D11C1">
      <w:pPr>
        <w:pStyle w:val="BodyText"/>
      </w:pPr>
    </w:p>
    <w:p w:rsidR="00000000" w:rsidRPr="006D11C1" w:rsidP="006D11C1">
      <w:pPr>
        <w:pStyle w:val="AllowPageBreak"/>
      </w:pPr>
    </w:p>
    <w:p w:rsidR="00000000" w:rsidRPr="006D11C1" w:rsidP="006D11C1">
      <w:pPr>
        <w:pStyle w:val="Heading1"/>
      </w:pPr>
      <w:bookmarkStart w:id="8" w:name="O_1259281"/>
      <w:bookmarkEnd w:id="8"/>
      <w:r w:rsidRPr="006D11C1">
        <w:t>Links</w:t>
      </w:r>
    </w:p>
    <w:p w:rsidR="00000000" w:rsidRPr="006D11C1" w:rsidP="00B404B3">
      <w:pPr>
        <w:pStyle w:val="BodyText"/>
      </w:pPr>
      <w:r w:rsidRPr="006D11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3A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11C1" w:rsidP="006D11C1"/>
    <w:sectPr w:rsidSect="006D1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C1" w:rsidRPr="00B404B3" w:rsidP="00B40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B3" w:rsidP="006D1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4B3" w:rsidP="006D1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04B3" w:rsidP="006D1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1C1" w:rsidRPr="00B404B3" w:rsidP="00B40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4B3" w:rsidRPr="002D2AF8" w:rsidP="006D1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AMPQUA404 Maintain a Meat Hygiene Assessment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404B3" w:rsidP="006D1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46B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4CC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1C1"/>
  </w:style>
  <w:style w:type="character" w:customStyle="1" w:styleId="Heading1Char">
    <w:name w:val="Heading 1 Char"/>
    <w:basedOn w:val="DefaultParagraphFont"/>
    <w:link w:val="Heading1"/>
    <w:rsid w:val="006D1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1C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D11C1"/>
    <w:rPr>
      <w:i/>
    </w:rPr>
  </w:style>
  <w:style w:type="paragraph" w:customStyle="1" w:styleId="SuperHeading">
    <w:name w:val="SuperHeading"/>
    <w:basedOn w:val="Normal"/>
    <w:rsid w:val="006D1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11C1"/>
    <w:rPr>
      <w:b/>
    </w:rPr>
  </w:style>
  <w:style w:type="character" w:customStyle="1" w:styleId="Heading2Char">
    <w:name w:val="Heading 2 Char"/>
    <w:basedOn w:val="DefaultParagraphFont"/>
    <w:link w:val="Heading2"/>
    <w:rsid w:val="006D1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1C1"/>
    <w:rPr>
      <w:b/>
      <w:spacing w:val="0"/>
    </w:rPr>
  </w:style>
  <w:style w:type="paragraph" w:customStyle="1" w:styleId="SuperTitle">
    <w:name w:val="SuperTitle"/>
    <w:basedOn w:val="Title"/>
    <w:rsid w:val="006D1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1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1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1C1"/>
  </w:style>
  <w:style w:type="paragraph" w:styleId="TableofFigures">
    <w:name w:val="table of figures"/>
    <w:basedOn w:val="Normal"/>
    <w:next w:val="Normal"/>
    <w:semiHidden/>
    <w:rsid w:val="006D1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1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1C1"/>
    <w:rPr>
      <w:rFonts w:ascii="Wingdings" w:hAnsi="Wingdings"/>
    </w:rPr>
  </w:style>
  <w:style w:type="paragraph" w:customStyle="1" w:styleId="TableHeading">
    <w:name w:val="Table Heading"/>
    <w:basedOn w:val="HeadingBase"/>
    <w:rsid w:val="006D1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1C1"/>
    <w:rPr>
      <w:color w:val="0033CC"/>
      <w:u w:val="none"/>
    </w:rPr>
  </w:style>
  <w:style w:type="paragraph" w:customStyle="1" w:styleId="BodyTextRight">
    <w:name w:val="Body Text Right"/>
    <w:basedOn w:val="BodyText"/>
    <w:rsid w:val="006D1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1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1C1"/>
    <w:rPr>
      <w:sz w:val="32"/>
    </w:rPr>
  </w:style>
  <w:style w:type="paragraph" w:customStyle="1" w:styleId="HeadingProcedure">
    <w:name w:val="Heading Procedure"/>
    <w:basedOn w:val="HeadingBase"/>
    <w:next w:val="Normal"/>
    <w:rsid w:val="006D1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1C1"/>
    <w:pPr>
      <w:spacing w:before="60" w:after="60"/>
    </w:pPr>
  </w:style>
  <w:style w:type="paragraph" w:styleId="ListContinue">
    <w:name w:val="List Continue"/>
    <w:basedOn w:val="List"/>
    <w:rsid w:val="006D11C1"/>
    <w:pPr>
      <w:ind w:firstLine="0"/>
    </w:pPr>
  </w:style>
  <w:style w:type="paragraph" w:customStyle="1" w:styleId="ListNote">
    <w:name w:val="List Note"/>
    <w:basedOn w:val="List"/>
    <w:rsid w:val="006D1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1C1"/>
    <w:rPr>
      <w:rFonts w:ascii="Courier New" w:hAnsi="Courier New"/>
    </w:rPr>
  </w:style>
  <w:style w:type="paragraph" w:customStyle="1" w:styleId="NoteBullet">
    <w:name w:val="Note Bullet"/>
    <w:basedOn w:val="Note"/>
    <w:rsid w:val="006D1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1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1C1"/>
    <w:rPr>
      <w:b/>
      <w:smallCaps/>
    </w:rPr>
  </w:style>
  <w:style w:type="paragraph" w:customStyle="1" w:styleId="TableListNumber">
    <w:name w:val="Table List Number"/>
    <w:basedOn w:val="ListNumber"/>
    <w:rsid w:val="006D1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1C1"/>
    <w:pPr>
      <w:numPr>
        <w:numId w:val="8"/>
      </w:numPr>
    </w:pPr>
  </w:style>
  <w:style w:type="paragraph" w:customStyle="1" w:styleId="ListAlpha2">
    <w:name w:val="List Alpha 2"/>
    <w:basedOn w:val="List2"/>
    <w:rsid w:val="006D11C1"/>
    <w:pPr>
      <w:numPr>
        <w:numId w:val="7"/>
      </w:numPr>
    </w:pPr>
  </w:style>
  <w:style w:type="paragraph" w:styleId="List2">
    <w:name w:val="List 2"/>
    <w:basedOn w:val="BodyText"/>
    <w:rsid w:val="006D1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1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1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1C1"/>
    <w:pPr>
      <w:numPr>
        <w:numId w:val="3"/>
      </w:numPr>
    </w:pPr>
  </w:style>
  <w:style w:type="paragraph" w:styleId="ListContinue2">
    <w:name w:val="List Continue 2"/>
    <w:basedOn w:val="List2"/>
    <w:rsid w:val="006D11C1"/>
    <w:pPr>
      <w:ind w:firstLine="0"/>
    </w:pPr>
  </w:style>
  <w:style w:type="paragraph" w:styleId="ListContinue3">
    <w:name w:val="List Continue 3"/>
    <w:basedOn w:val="List3"/>
    <w:rsid w:val="006D11C1"/>
    <w:pPr>
      <w:ind w:left="1021" w:firstLine="0"/>
    </w:pPr>
  </w:style>
  <w:style w:type="paragraph" w:styleId="ListContinue4">
    <w:name w:val="List Continue 4"/>
    <w:basedOn w:val="List4"/>
    <w:rsid w:val="006D11C1"/>
    <w:pPr>
      <w:ind w:firstLine="0"/>
    </w:pPr>
  </w:style>
  <w:style w:type="paragraph" w:styleId="ListContinue5">
    <w:name w:val="List Continue 5"/>
    <w:basedOn w:val="List5"/>
    <w:rsid w:val="006D11C1"/>
    <w:pPr>
      <w:ind w:firstLine="0"/>
    </w:pPr>
  </w:style>
  <w:style w:type="paragraph" w:styleId="ListNumber3">
    <w:name w:val="List Number 3"/>
    <w:basedOn w:val="List3"/>
    <w:rsid w:val="006D11C1"/>
    <w:pPr>
      <w:numPr>
        <w:numId w:val="4"/>
      </w:numPr>
    </w:pPr>
  </w:style>
  <w:style w:type="paragraph" w:styleId="ListNumber4">
    <w:name w:val="List Number 4"/>
    <w:basedOn w:val="List4"/>
    <w:rsid w:val="006D11C1"/>
    <w:pPr>
      <w:numPr>
        <w:numId w:val="5"/>
      </w:numPr>
    </w:pPr>
  </w:style>
  <w:style w:type="paragraph" w:styleId="ListNumber5">
    <w:name w:val="List Number 5"/>
    <w:basedOn w:val="List5"/>
    <w:rsid w:val="006D11C1"/>
    <w:pPr>
      <w:numPr>
        <w:numId w:val="6"/>
      </w:numPr>
    </w:pPr>
  </w:style>
  <w:style w:type="paragraph" w:styleId="BlockText">
    <w:name w:val="Block Text"/>
    <w:basedOn w:val="Normal"/>
    <w:rsid w:val="006D1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1C1"/>
    <w:rPr>
      <w:sz w:val="16"/>
      <w:vertAlign w:val="superscript"/>
    </w:rPr>
  </w:style>
  <w:style w:type="character" w:customStyle="1" w:styleId="Symbols">
    <w:name w:val="Symbols"/>
    <w:basedOn w:val="DefaultParagraphFont"/>
    <w:rsid w:val="006D11C1"/>
    <w:rPr>
      <w:rFonts w:ascii="Symbol" w:hAnsi="Symbol"/>
    </w:rPr>
  </w:style>
  <w:style w:type="character" w:customStyle="1" w:styleId="MenuOptions">
    <w:name w:val="Menu Options"/>
    <w:basedOn w:val="DefaultParagraphFont"/>
    <w:rsid w:val="006D1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1C1"/>
    <w:rPr>
      <w:b/>
    </w:rPr>
  </w:style>
  <w:style w:type="character" w:customStyle="1" w:styleId="Underlined">
    <w:name w:val="Underlined"/>
    <w:basedOn w:val="DefaultParagraphFont"/>
    <w:rsid w:val="006D11C1"/>
    <w:rPr>
      <w:u w:val="single"/>
    </w:rPr>
  </w:style>
  <w:style w:type="paragraph" w:customStyle="1" w:styleId="TableBodyTextRight">
    <w:name w:val="Table Body Text Right"/>
    <w:basedOn w:val="TableBodyText"/>
    <w:rsid w:val="006D1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1C1"/>
    <w:rPr>
      <w:sz w:val="18"/>
    </w:rPr>
  </w:style>
  <w:style w:type="paragraph" w:customStyle="1" w:styleId="BodySmallRight">
    <w:name w:val="Body Small Right"/>
    <w:basedOn w:val="BodyTextRight"/>
    <w:rsid w:val="006D11C1"/>
    <w:rPr>
      <w:sz w:val="18"/>
      <w:szCs w:val="18"/>
    </w:rPr>
  </w:style>
  <w:style w:type="paragraph" w:customStyle="1" w:styleId="MarginEdition">
    <w:name w:val="Margin Edition"/>
    <w:basedOn w:val="MarginNote"/>
    <w:rsid w:val="006D1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1C1"/>
    <w:rPr>
      <w:sz w:val="2"/>
      <w:szCs w:val="2"/>
    </w:rPr>
  </w:style>
  <w:style w:type="character" w:customStyle="1" w:styleId="Small">
    <w:name w:val="Small"/>
    <w:basedOn w:val="DefaultParagraphFont"/>
    <w:rsid w:val="006D11C1"/>
    <w:rPr>
      <w:sz w:val="16"/>
    </w:rPr>
  </w:style>
  <w:style w:type="paragraph" w:customStyle="1" w:styleId="WideTable">
    <w:name w:val="Wide Table"/>
    <w:basedOn w:val="Normal"/>
    <w:rsid w:val="006D1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1C1"/>
  </w:style>
  <w:style w:type="paragraph" w:styleId="Quote">
    <w:name w:val="Quote"/>
    <w:basedOn w:val="Heading1"/>
    <w:link w:val="QuoteChar"/>
    <w:qFormat/>
    <w:rsid w:val="006D1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1C1"/>
    <w:pPr>
      <w:pageBreakBefore/>
    </w:pPr>
  </w:style>
  <w:style w:type="paragraph" w:customStyle="1" w:styleId="Border">
    <w:name w:val="Border"/>
    <w:basedOn w:val="Normal"/>
    <w:qFormat/>
    <w:rsid w:val="006D1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1C1"/>
    <w:rPr>
      <w:u w:val="single"/>
    </w:rPr>
  </w:style>
  <w:style w:type="character" w:customStyle="1" w:styleId="BoldandItalics">
    <w:name w:val="Bold and Italics"/>
    <w:qFormat/>
    <w:rsid w:val="006D11C1"/>
    <w:rPr>
      <w:b/>
      <w:i/>
      <w:u w:val="none"/>
    </w:rPr>
  </w:style>
  <w:style w:type="paragraph" w:styleId="BalloonText">
    <w:name w:val="Balloon Text"/>
    <w:basedOn w:val="Normal"/>
    <w:link w:val="BalloonTextChar"/>
    <w:rsid w:val="006D1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1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0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4545</Characters>
  <Application>Microsoft Office Word</Application>
  <DocSecurity>0</DocSecurity>
  <Lines>156</Lines>
  <Paragraphs>99</Paragraphs>
  <ScaleCrop>false</ScaleCrop>
  <Company>Author-it Software Corporation Ltd.</Company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AMPQUA404 Maintain a Meat Hygiene Assessment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