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5B7" w:rsidP="00110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AMPQUA311 Assess effective stunning and bleeding</w:t>
      </w:r>
      <w:r>
        <w:fldChar w:fldCharType="end"/>
      </w:r>
    </w:p>
    <w:p w:rsidR="001105B7" w:rsidP="001105B7">
      <w:pPr>
        <w:pStyle w:val="Version"/>
        <w:sectPr w:rsidSect="00F84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E9F" w:rsidP="00F84E9F">
      <w:pPr>
        <w:pStyle w:val="SuperHeading"/>
      </w:pPr>
      <w:r w:rsidRPr="00F84E9F">
        <w:t>Assessment Requirements for AMPQUA311 Assess effective stunning and bleeding</w:t>
      </w:r>
    </w:p>
    <w:p w:rsidR="00000000" w:rsidRPr="00F84E9F" w:rsidP="00F84E9F">
      <w:pPr>
        <w:pStyle w:val="Heading1"/>
      </w:pPr>
      <w:bookmarkStart w:id="1" w:name="O_1253614"/>
      <w:bookmarkEnd w:id="1"/>
      <w:r w:rsidRPr="00F84E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4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F">
            <w:pPr>
              <w:pStyle w:val="BodyTextBold"/>
              <w:rPr>
                <w:lang w:val="en-NZ"/>
              </w:rPr>
            </w:pPr>
            <w:r w:rsidRPr="00F84E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F">
            <w:pPr>
              <w:pStyle w:val="BodyTextBold"/>
              <w:rPr>
                <w:lang w:val="en-NZ"/>
              </w:rPr>
            </w:pPr>
            <w:r w:rsidRPr="00F84E9F">
              <w:t>Comments</w:t>
            </w:r>
          </w:p>
        </w:tc>
      </w:tr>
      <w:tr w:rsidTr="00F84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E9F">
            <w:pPr>
              <w:pStyle w:val="BodyText"/>
              <w:rPr>
                <w:lang w:val="en-NZ"/>
              </w:rPr>
            </w:pPr>
            <w:r w:rsidRPr="00F84E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E9F" w:rsidP="00F84E9F">
            <w:pPr>
              <w:pStyle w:val="BodyText"/>
            </w:pPr>
            <w:r w:rsidRPr="00F84E9F">
              <w:t>This version released with AMP Australian Meat Processing Training Package Version 8.0.</w:t>
            </w:r>
          </w:p>
        </w:tc>
      </w:tr>
    </w:tbl>
    <w:p w:rsidR="00000000" w:rsidRPr="00F84E9F" w:rsidP="00F84E9F">
      <w:pPr>
        <w:pStyle w:val="BodyText"/>
      </w:pPr>
    </w:p>
    <w:p w:rsidR="00000000" w:rsidRPr="00F84E9F" w:rsidP="00F84E9F">
      <w:pPr>
        <w:pStyle w:val="AllowPageBreak"/>
      </w:pPr>
    </w:p>
    <w:p w:rsidR="00000000" w:rsidRPr="00F84E9F" w:rsidP="00F84E9F">
      <w:pPr>
        <w:pStyle w:val="Heading1"/>
      </w:pPr>
      <w:bookmarkStart w:id="2" w:name="O_1253615"/>
      <w:bookmarkEnd w:id="2"/>
      <w:r w:rsidRPr="00F84E9F">
        <w:t>Performance Evidence</w:t>
      </w:r>
    </w:p>
    <w:p w:rsidR="00000000" w:rsidRPr="00F84E9F" w:rsidP="001105B7">
      <w:pPr>
        <w:pStyle w:val="BodyText"/>
      </w:pPr>
      <w:r w:rsidRPr="00F84E9F">
        <w:t>An individual demonstrating competency must satisfy all of the elements and performance criteria in this unit.</w:t>
      </w:r>
    </w:p>
    <w:p w:rsidR="00000000" w:rsidRPr="00F84E9F" w:rsidP="001105B7">
      <w:pPr>
        <w:pStyle w:val="BodyText"/>
      </w:pPr>
      <w:r w:rsidRPr="00F84E9F">
        <w:t>There must be evidence that the individual has assessed animal stunning and bleeding processes to identify their effectivene</w:t>
      </w:r>
      <w:r w:rsidRPr="00F84E9F">
        <w:t>ss for at least ten animals.</w:t>
      </w:r>
    </w:p>
    <w:p w:rsidR="00000000" w:rsidRPr="00F84E9F" w:rsidP="00F84E9F">
      <w:pPr>
        <w:pStyle w:val="Heading1"/>
      </w:pPr>
      <w:bookmarkStart w:id="3" w:name="O_1253616"/>
      <w:bookmarkEnd w:id="3"/>
      <w:r w:rsidRPr="00F84E9F">
        <w:t>Knowledge Evidence</w:t>
      </w:r>
    </w:p>
    <w:p w:rsidR="00000000" w:rsidRPr="00F84E9F" w:rsidP="001105B7">
      <w:pPr>
        <w:pStyle w:val="BodyText"/>
      </w:pPr>
      <w:r w:rsidRPr="00F84E9F">
        <w:t>An individual must be able to demonstrate the knowledge required to perform the tasks outlined in the elements and performance criteria of this unit. This includes knowledge of:</w:t>
      </w:r>
    </w:p>
    <w:p w:rsidR="00000000" w:rsidRPr="00F84E9F" w:rsidP="00F84E9F">
      <w:pPr>
        <w:pStyle w:val="ListBullet"/>
      </w:pPr>
      <w:r w:rsidRPr="00F84E9F">
        <w:t>methods of</w:t>
      </w:r>
      <w:r w:rsidRPr="00F84E9F">
        <w:t xml:space="preserve"> stunning and their application</w:t>
      </w:r>
    </w:p>
    <w:p w:rsidR="00000000" w:rsidRPr="00F84E9F" w:rsidP="00F84E9F">
      <w:pPr>
        <w:pStyle w:val="ListBullet"/>
      </w:pPr>
      <w:r w:rsidRPr="00F84E9F">
        <w:t>animal welfare requirements, including importing country requirements where appropriate</w:t>
      </w:r>
    </w:p>
    <w:p w:rsidR="00000000" w:rsidRPr="00F84E9F" w:rsidP="00F84E9F">
      <w:pPr>
        <w:pStyle w:val="ListBullet"/>
      </w:pPr>
      <w:r w:rsidRPr="00F84E9F">
        <w:t>purpose of stunning animal</w:t>
      </w:r>
    </w:p>
    <w:p w:rsidR="00000000" w:rsidRPr="00F84E9F" w:rsidP="00F84E9F">
      <w:pPr>
        <w:pStyle w:val="ListBullet"/>
      </w:pPr>
      <w:r w:rsidRPr="00F84E9F">
        <w:t>the indicators of an effective stun</w:t>
      </w:r>
    </w:p>
    <w:p w:rsidR="00000000" w:rsidRPr="00F84E9F" w:rsidP="00F84E9F">
      <w:pPr>
        <w:pStyle w:val="ListBullet"/>
      </w:pPr>
      <w:r w:rsidRPr="00F84E9F">
        <w:t>signs of an ineffective stun</w:t>
      </w:r>
    </w:p>
    <w:p w:rsidR="00000000" w:rsidRPr="00F84E9F" w:rsidP="00F84E9F">
      <w:pPr>
        <w:pStyle w:val="ListBullet"/>
      </w:pPr>
      <w:r w:rsidRPr="00F84E9F">
        <w:t>animal welfare implications of ineffective stunning and bleeding</w:t>
      </w:r>
    </w:p>
    <w:p w:rsidR="00000000" w:rsidRPr="00F84E9F" w:rsidP="00F84E9F">
      <w:pPr>
        <w:pStyle w:val="ListBullet"/>
      </w:pPr>
      <w:r w:rsidRPr="00F84E9F">
        <w:t>workplace health and safety consequences of not achieving an effective stun</w:t>
      </w:r>
    </w:p>
    <w:p w:rsidR="00000000" w:rsidRPr="00F84E9F" w:rsidP="00F84E9F">
      <w:pPr>
        <w:pStyle w:val="ListBullet"/>
      </w:pPr>
      <w:r w:rsidRPr="00F84E9F">
        <w:t>workplace and regulatory requirements for monitoring stunning</w:t>
      </w:r>
    </w:p>
    <w:p w:rsidR="00000000" w:rsidRPr="00F84E9F" w:rsidP="00F84E9F">
      <w:pPr>
        <w:pStyle w:val="ListBullet"/>
      </w:pPr>
      <w:r w:rsidRPr="00F84E9F">
        <w:t>the causes of ineffective stunning and bleeding</w:t>
      </w:r>
    </w:p>
    <w:p w:rsidR="00000000" w:rsidRPr="00F84E9F" w:rsidP="00F84E9F">
      <w:pPr>
        <w:pStyle w:val="ListBullet"/>
      </w:pPr>
      <w:r w:rsidRPr="00F84E9F">
        <w:t>signs</w:t>
      </w:r>
      <w:r w:rsidRPr="00F84E9F">
        <w:t xml:space="preserve"> of bleed chain insensibility</w:t>
      </w:r>
    </w:p>
    <w:p w:rsidR="00000000" w:rsidRPr="00F84E9F" w:rsidP="00F84E9F">
      <w:pPr>
        <w:pStyle w:val="ListBullet"/>
      </w:pPr>
      <w:r w:rsidRPr="00F84E9F">
        <w:t>procedures for the assessment of stunning</w:t>
      </w:r>
    </w:p>
    <w:p w:rsidR="00000000" w:rsidRPr="00F84E9F" w:rsidP="00F84E9F">
      <w:pPr>
        <w:pStyle w:val="ListBullet"/>
      </w:pPr>
      <w:r w:rsidRPr="00F84E9F">
        <w:t>procedures for the assessment of bleed chain insensibility</w:t>
      </w:r>
    </w:p>
    <w:p w:rsidR="00000000" w:rsidRPr="00F84E9F" w:rsidP="00F84E9F">
      <w:pPr>
        <w:pStyle w:val="ListBullet"/>
      </w:pPr>
      <w:r w:rsidRPr="00F84E9F">
        <w:t>workplace and regulatory requirements for monitoring bleed chain insensibility</w:t>
      </w:r>
    </w:p>
    <w:p w:rsidR="00000000" w:rsidRPr="00F84E9F" w:rsidP="00F84E9F">
      <w:pPr>
        <w:pStyle w:val="ListBullet"/>
      </w:pPr>
      <w:r w:rsidRPr="00F84E9F">
        <w:t>impact of ineffective restraining and stunning</w:t>
      </w:r>
      <w:r w:rsidRPr="00F84E9F">
        <w:t xml:space="preserve"> on product quality</w:t>
      </w:r>
    </w:p>
    <w:p w:rsidR="00000000" w:rsidRPr="00F84E9F" w:rsidP="00F84E9F">
      <w:pPr>
        <w:pStyle w:val="ListBullet"/>
      </w:pPr>
      <w:r w:rsidRPr="00F84E9F">
        <w:t>relevant regulatory requirements for stunning and bleeding animals</w:t>
      </w:r>
    </w:p>
    <w:p w:rsidR="00000000" w:rsidRPr="00F84E9F" w:rsidP="00F84E9F">
      <w:pPr>
        <w:pStyle w:val="ListBullet"/>
      </w:pPr>
      <w:r w:rsidRPr="00F84E9F">
        <w:t>corrective actions for an ineffective stun</w:t>
      </w:r>
    </w:p>
    <w:p w:rsidR="00000000" w:rsidRPr="00F84E9F" w:rsidP="00F84E9F">
      <w:pPr>
        <w:pStyle w:val="ListBullet"/>
      </w:pPr>
      <w:r w:rsidRPr="00F84E9F">
        <w:t>correct use of personal protective equipment (PPE).</w:t>
      </w:r>
    </w:p>
    <w:p w:rsidR="00000000" w:rsidRPr="00F84E9F" w:rsidP="00F84E9F">
      <w:pPr>
        <w:pStyle w:val="AllowPageBreak"/>
      </w:pPr>
    </w:p>
    <w:p w:rsidR="00000000" w:rsidRPr="00F84E9F" w:rsidP="00F84E9F">
      <w:pPr>
        <w:pStyle w:val="Heading1"/>
      </w:pPr>
      <w:bookmarkStart w:id="4" w:name="O_1253617"/>
      <w:bookmarkEnd w:id="4"/>
      <w:r w:rsidRPr="00F84E9F">
        <w:t>Assessment Conditions</w:t>
      </w:r>
    </w:p>
    <w:p w:rsidR="00000000" w:rsidRPr="00F84E9F" w:rsidP="001105B7">
      <w:pPr>
        <w:pStyle w:val="BodyText"/>
      </w:pPr>
      <w:r w:rsidRPr="00F84E9F">
        <w:t xml:space="preserve">Assessment of the skills in this </w:t>
      </w:r>
      <w:r w:rsidRPr="00F84E9F">
        <w:t>unit of competency must take place under the following conditions:</w:t>
      </w:r>
    </w:p>
    <w:p w:rsidR="00000000" w:rsidRPr="00F84E9F" w:rsidP="00F84E9F">
      <w:pPr>
        <w:pStyle w:val="ListBullet"/>
      </w:pPr>
      <w:r w:rsidRPr="00F84E9F">
        <w:t>physical conditions:</w:t>
      </w:r>
    </w:p>
    <w:p w:rsidR="00000000" w:rsidRPr="00F84E9F" w:rsidP="00F84E9F">
      <w:pPr>
        <w:pStyle w:val="ListBullet2"/>
      </w:pPr>
      <w:r w:rsidRPr="00F84E9F">
        <w:t>skills must be demonstrated in a slaughtering establishment or an environment that accurately represents workplace conditions</w:t>
      </w:r>
    </w:p>
    <w:p w:rsidR="00000000" w:rsidRPr="00F84E9F" w:rsidP="00F84E9F">
      <w:pPr>
        <w:pStyle w:val="ListBullet"/>
      </w:pPr>
      <w:r w:rsidRPr="00F84E9F">
        <w:t>resources, equipment and materials:</w:t>
      </w:r>
    </w:p>
    <w:p w:rsidR="00000000" w:rsidRPr="00F84E9F" w:rsidP="00F84E9F">
      <w:pPr>
        <w:pStyle w:val="ListBullet2"/>
      </w:pPr>
      <w:r w:rsidRPr="00F84E9F">
        <w:t>reporting and monitoring systems</w:t>
      </w:r>
    </w:p>
    <w:p w:rsidR="00000000" w:rsidRPr="00F84E9F" w:rsidP="00F84E9F">
      <w:pPr>
        <w:pStyle w:val="ListBullet2"/>
      </w:pPr>
      <w:r w:rsidRPr="00F84E9F">
        <w:t>real animals</w:t>
      </w:r>
    </w:p>
    <w:p w:rsidR="00000000" w:rsidRPr="00F84E9F" w:rsidP="00F84E9F">
      <w:pPr>
        <w:pStyle w:val="ListBullet2"/>
      </w:pPr>
      <w:r w:rsidRPr="00F84E9F">
        <w:t>PPE</w:t>
      </w:r>
    </w:p>
    <w:p w:rsidR="00000000" w:rsidRPr="00F84E9F" w:rsidP="00F84E9F">
      <w:pPr>
        <w:pStyle w:val="ListBullet"/>
      </w:pPr>
      <w:r w:rsidRPr="00F84E9F">
        <w:t>specifications:</w:t>
      </w:r>
    </w:p>
    <w:p w:rsidR="00000000" w:rsidRPr="00F84E9F" w:rsidP="00F84E9F">
      <w:pPr>
        <w:pStyle w:val="ListBullet2"/>
      </w:pPr>
      <w:r w:rsidRPr="00F84E9F">
        <w:t>workplace procedures, including advice on safe work practices, animal welfare requirements</w:t>
      </w:r>
    </w:p>
    <w:p w:rsidR="00000000" w:rsidRPr="00F84E9F" w:rsidP="00F84E9F">
      <w:pPr>
        <w:pStyle w:val="ListBullet"/>
      </w:pPr>
      <w:r w:rsidRPr="00F84E9F">
        <w:t>timeframes:</w:t>
      </w:r>
    </w:p>
    <w:p w:rsidR="00000000" w:rsidRPr="00F84E9F" w:rsidP="00F84E9F">
      <w:pPr>
        <w:pStyle w:val="ListBullet2"/>
      </w:pPr>
      <w:r w:rsidRPr="00F84E9F">
        <w:t>within typical operating and production conditions for the workplace.</w:t>
      </w:r>
    </w:p>
    <w:p w:rsidR="00000000" w:rsidRPr="00F84E9F" w:rsidP="001105B7">
      <w:pPr>
        <w:pStyle w:val="BodyText"/>
      </w:pPr>
      <w:r w:rsidRPr="00F84E9F">
        <w:t>Assessment fo</w:t>
      </w:r>
      <w:r w:rsidRPr="00F84E9F">
        <w:t xml:space="preserve">r this unit must include at least three forms of evidence. </w:t>
      </w:r>
    </w:p>
    <w:p w:rsidR="00000000" w:rsidRPr="00F84E9F" w:rsidP="001105B7">
      <w:pPr>
        <w:pStyle w:val="BodyText"/>
      </w:pPr>
      <w:r w:rsidRPr="00F84E9F">
        <w:t>Assessors of this unit must satisfy the requirements for assessors in applicable vocational education and training legislation, frameworks and/or standards.</w:t>
      </w:r>
    </w:p>
    <w:p w:rsidR="00000000" w:rsidRPr="00F84E9F" w:rsidP="00F84E9F">
      <w:pPr>
        <w:pStyle w:val="Heading1"/>
      </w:pPr>
      <w:bookmarkStart w:id="5" w:name="O_1253620"/>
      <w:bookmarkEnd w:id="5"/>
      <w:r w:rsidRPr="00F84E9F">
        <w:t>Links</w:t>
      </w:r>
    </w:p>
    <w:p w:rsidR="00000000" w:rsidRPr="00F84E9F" w:rsidP="001105B7">
      <w:pPr>
        <w:pStyle w:val="BodyText"/>
      </w:pPr>
      <w:r w:rsidRPr="00F84E9F">
        <w:t>Companion Volu</w:t>
      </w:r>
      <w:r w:rsidRPr="00F84E9F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C4A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4E9F" w:rsidP="00F84E9F"/>
    <w:sectPr w:rsidSect="00F84E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F" w:rsidRPr="001105B7" w:rsidP="00110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5B7" w:rsidP="00F84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5B7" w:rsidP="00F84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05B7" w:rsidP="00F84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E9F" w:rsidRPr="001105B7" w:rsidP="00110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5B7" w:rsidRPr="002D2AF8" w:rsidP="00F84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AMPQUA311 Assess effective stunning and bleeding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105B7" w:rsidP="00F84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6E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1EB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3CF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E9F"/>
  </w:style>
  <w:style w:type="character" w:customStyle="1" w:styleId="Heading1Char">
    <w:name w:val="Heading 1 Char"/>
    <w:basedOn w:val="DefaultParagraphFont"/>
    <w:link w:val="Heading1"/>
    <w:rsid w:val="00F84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E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E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4E9F"/>
    <w:rPr>
      <w:b/>
    </w:rPr>
  </w:style>
  <w:style w:type="character" w:customStyle="1" w:styleId="Heading2Char">
    <w:name w:val="Heading 2 Char"/>
    <w:basedOn w:val="DefaultParagraphFont"/>
    <w:link w:val="Heading2"/>
    <w:rsid w:val="00F84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E9F"/>
    <w:rPr>
      <w:b/>
      <w:spacing w:val="0"/>
    </w:rPr>
  </w:style>
  <w:style w:type="paragraph" w:customStyle="1" w:styleId="SuperTitle">
    <w:name w:val="SuperTitle"/>
    <w:basedOn w:val="Title"/>
    <w:rsid w:val="00F84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E9F"/>
    <w:rPr>
      <w:i/>
    </w:rPr>
  </w:style>
  <w:style w:type="paragraph" w:styleId="Caption">
    <w:name w:val="caption"/>
    <w:basedOn w:val="BodyText"/>
    <w:next w:val="Normal"/>
    <w:qFormat/>
    <w:rsid w:val="00F84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E9F"/>
  </w:style>
  <w:style w:type="paragraph" w:styleId="TableofFigures">
    <w:name w:val="table of figures"/>
    <w:basedOn w:val="Normal"/>
    <w:next w:val="Normal"/>
    <w:semiHidden/>
    <w:rsid w:val="00F84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E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E9F"/>
    <w:rPr>
      <w:rFonts w:ascii="Wingdings" w:hAnsi="Wingdings"/>
    </w:rPr>
  </w:style>
  <w:style w:type="paragraph" w:customStyle="1" w:styleId="TableHeading">
    <w:name w:val="Table Heading"/>
    <w:basedOn w:val="HeadingBase"/>
    <w:rsid w:val="00F84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E9F"/>
    <w:rPr>
      <w:color w:val="0033CC"/>
      <w:u w:val="none"/>
    </w:rPr>
  </w:style>
  <w:style w:type="paragraph" w:customStyle="1" w:styleId="BodyTextRight">
    <w:name w:val="Body Text Right"/>
    <w:basedOn w:val="BodyText"/>
    <w:rsid w:val="00F84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E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E9F"/>
    <w:rPr>
      <w:sz w:val="32"/>
    </w:rPr>
  </w:style>
  <w:style w:type="paragraph" w:customStyle="1" w:styleId="HeadingProcedure">
    <w:name w:val="Heading Procedure"/>
    <w:basedOn w:val="HeadingBase"/>
    <w:next w:val="Normal"/>
    <w:rsid w:val="00F84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E9F"/>
    <w:pPr>
      <w:spacing w:before="60" w:after="60"/>
    </w:pPr>
  </w:style>
  <w:style w:type="paragraph" w:styleId="ListContinue">
    <w:name w:val="List Continue"/>
    <w:basedOn w:val="List"/>
    <w:rsid w:val="00F84E9F"/>
    <w:pPr>
      <w:ind w:firstLine="0"/>
    </w:pPr>
  </w:style>
  <w:style w:type="paragraph" w:customStyle="1" w:styleId="ListNote">
    <w:name w:val="List Note"/>
    <w:basedOn w:val="List"/>
    <w:rsid w:val="00F84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E9F"/>
    <w:rPr>
      <w:rFonts w:ascii="Courier New" w:hAnsi="Courier New"/>
    </w:rPr>
  </w:style>
  <w:style w:type="paragraph" w:customStyle="1" w:styleId="NoteBullet">
    <w:name w:val="Note Bullet"/>
    <w:basedOn w:val="Note"/>
    <w:rsid w:val="00F84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E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E9F"/>
    <w:rPr>
      <w:b/>
      <w:smallCaps/>
    </w:rPr>
  </w:style>
  <w:style w:type="paragraph" w:customStyle="1" w:styleId="TableListNumber">
    <w:name w:val="Table List Number"/>
    <w:basedOn w:val="ListNumber"/>
    <w:rsid w:val="00F84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E9F"/>
    <w:pPr>
      <w:numPr>
        <w:numId w:val="9"/>
      </w:numPr>
    </w:pPr>
  </w:style>
  <w:style w:type="paragraph" w:customStyle="1" w:styleId="ListAlpha2">
    <w:name w:val="List Alpha 2"/>
    <w:basedOn w:val="List2"/>
    <w:rsid w:val="00F84E9F"/>
    <w:pPr>
      <w:numPr>
        <w:numId w:val="8"/>
      </w:numPr>
    </w:pPr>
  </w:style>
  <w:style w:type="paragraph" w:styleId="List2">
    <w:name w:val="List 2"/>
    <w:basedOn w:val="BodyText"/>
    <w:rsid w:val="00F84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E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E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E9F"/>
    <w:pPr>
      <w:numPr>
        <w:numId w:val="4"/>
      </w:numPr>
    </w:pPr>
  </w:style>
  <w:style w:type="paragraph" w:styleId="ListContinue2">
    <w:name w:val="List Continue 2"/>
    <w:basedOn w:val="List2"/>
    <w:rsid w:val="00F84E9F"/>
    <w:pPr>
      <w:ind w:firstLine="0"/>
    </w:pPr>
  </w:style>
  <w:style w:type="paragraph" w:styleId="ListContinue3">
    <w:name w:val="List Continue 3"/>
    <w:basedOn w:val="List3"/>
    <w:rsid w:val="00F84E9F"/>
    <w:pPr>
      <w:ind w:left="1021" w:firstLine="0"/>
    </w:pPr>
  </w:style>
  <w:style w:type="paragraph" w:styleId="ListContinue4">
    <w:name w:val="List Continue 4"/>
    <w:basedOn w:val="List4"/>
    <w:rsid w:val="00F84E9F"/>
    <w:pPr>
      <w:ind w:firstLine="0"/>
    </w:pPr>
  </w:style>
  <w:style w:type="paragraph" w:styleId="ListContinue5">
    <w:name w:val="List Continue 5"/>
    <w:basedOn w:val="List5"/>
    <w:rsid w:val="00F84E9F"/>
    <w:pPr>
      <w:ind w:firstLine="0"/>
    </w:pPr>
  </w:style>
  <w:style w:type="paragraph" w:styleId="ListNumber3">
    <w:name w:val="List Number 3"/>
    <w:basedOn w:val="List3"/>
    <w:rsid w:val="00F84E9F"/>
    <w:pPr>
      <w:numPr>
        <w:numId w:val="5"/>
      </w:numPr>
    </w:pPr>
  </w:style>
  <w:style w:type="paragraph" w:styleId="ListNumber4">
    <w:name w:val="List Number 4"/>
    <w:basedOn w:val="List4"/>
    <w:rsid w:val="00F84E9F"/>
    <w:pPr>
      <w:numPr>
        <w:numId w:val="6"/>
      </w:numPr>
    </w:pPr>
  </w:style>
  <w:style w:type="paragraph" w:styleId="ListNumber5">
    <w:name w:val="List Number 5"/>
    <w:basedOn w:val="List5"/>
    <w:rsid w:val="00F84E9F"/>
    <w:pPr>
      <w:numPr>
        <w:numId w:val="7"/>
      </w:numPr>
    </w:pPr>
  </w:style>
  <w:style w:type="paragraph" w:styleId="BlockText">
    <w:name w:val="Block Text"/>
    <w:basedOn w:val="Normal"/>
    <w:rsid w:val="00F84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E9F"/>
    <w:rPr>
      <w:sz w:val="16"/>
      <w:vertAlign w:val="superscript"/>
    </w:rPr>
  </w:style>
  <w:style w:type="character" w:customStyle="1" w:styleId="Symbols">
    <w:name w:val="Symbols"/>
    <w:basedOn w:val="DefaultParagraphFont"/>
    <w:rsid w:val="00F84E9F"/>
    <w:rPr>
      <w:rFonts w:ascii="Symbol" w:hAnsi="Symbol"/>
    </w:rPr>
  </w:style>
  <w:style w:type="character" w:customStyle="1" w:styleId="MenuOptions">
    <w:name w:val="Menu Options"/>
    <w:basedOn w:val="DefaultParagraphFont"/>
    <w:rsid w:val="00F84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E9F"/>
    <w:rPr>
      <w:b/>
    </w:rPr>
  </w:style>
  <w:style w:type="character" w:customStyle="1" w:styleId="Underlined">
    <w:name w:val="Underlined"/>
    <w:basedOn w:val="DefaultParagraphFont"/>
    <w:rsid w:val="00F84E9F"/>
    <w:rPr>
      <w:u w:val="single"/>
    </w:rPr>
  </w:style>
  <w:style w:type="paragraph" w:customStyle="1" w:styleId="TableBodyTextRight">
    <w:name w:val="Table Body Text Right"/>
    <w:basedOn w:val="TableBodyText"/>
    <w:rsid w:val="00F84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E9F"/>
    <w:rPr>
      <w:sz w:val="18"/>
    </w:rPr>
  </w:style>
  <w:style w:type="paragraph" w:customStyle="1" w:styleId="BodySmallRight">
    <w:name w:val="Body Small Right"/>
    <w:basedOn w:val="BodyTextRight"/>
    <w:rsid w:val="00F84E9F"/>
    <w:rPr>
      <w:sz w:val="18"/>
      <w:szCs w:val="18"/>
    </w:rPr>
  </w:style>
  <w:style w:type="paragraph" w:customStyle="1" w:styleId="MarginEdition">
    <w:name w:val="Margin Edition"/>
    <w:basedOn w:val="MarginNote"/>
    <w:rsid w:val="00F84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E9F"/>
    <w:rPr>
      <w:sz w:val="2"/>
      <w:szCs w:val="2"/>
    </w:rPr>
  </w:style>
  <w:style w:type="character" w:customStyle="1" w:styleId="Small">
    <w:name w:val="Small"/>
    <w:basedOn w:val="DefaultParagraphFont"/>
    <w:rsid w:val="00F84E9F"/>
    <w:rPr>
      <w:sz w:val="16"/>
    </w:rPr>
  </w:style>
  <w:style w:type="paragraph" w:customStyle="1" w:styleId="WideTable">
    <w:name w:val="Wide Table"/>
    <w:basedOn w:val="Normal"/>
    <w:rsid w:val="00F84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E9F"/>
  </w:style>
  <w:style w:type="paragraph" w:styleId="Quote">
    <w:name w:val="Quote"/>
    <w:basedOn w:val="Heading1"/>
    <w:link w:val="QuoteChar"/>
    <w:qFormat/>
    <w:rsid w:val="00F84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E9F"/>
    <w:pPr>
      <w:pageBreakBefore/>
    </w:pPr>
  </w:style>
  <w:style w:type="paragraph" w:customStyle="1" w:styleId="Border">
    <w:name w:val="Border"/>
    <w:basedOn w:val="Normal"/>
    <w:qFormat/>
    <w:rsid w:val="00F84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E9F"/>
    <w:rPr>
      <w:u w:val="single"/>
    </w:rPr>
  </w:style>
  <w:style w:type="character" w:customStyle="1" w:styleId="BoldandItalics">
    <w:name w:val="Bold and Italics"/>
    <w:qFormat/>
    <w:rsid w:val="00F84E9F"/>
    <w:rPr>
      <w:b/>
      <w:i/>
      <w:u w:val="none"/>
    </w:rPr>
  </w:style>
  <w:style w:type="paragraph" w:styleId="BalloonText">
    <w:name w:val="Balloon Text"/>
    <w:basedOn w:val="Normal"/>
    <w:link w:val="BalloonTextChar"/>
    <w:rsid w:val="00F84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E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05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2457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AMPQUA311 Assess effective stunning and bleeding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