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CFA" w:rsidP="00AE0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AMPQUA308 Grade beef carcases using MSA standards</w:t>
      </w:r>
      <w:r>
        <w:fldChar w:fldCharType="end"/>
      </w:r>
    </w:p>
    <w:p w:rsidR="00AE0CFA" w:rsidP="00AE0CFA">
      <w:pPr>
        <w:pStyle w:val="Version"/>
        <w:sectPr w:rsidSect="004B5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4AB" w:rsidP="004B54AB">
      <w:pPr>
        <w:pStyle w:val="SuperHeading"/>
      </w:pPr>
      <w:r w:rsidRPr="004B54AB">
        <w:t>Assessment Requirements for AMPQUA308 Grade beef carcases using MSA standards</w:t>
      </w:r>
    </w:p>
    <w:p w:rsidR="00000000" w:rsidRPr="004B54AB" w:rsidP="004B54AB">
      <w:pPr>
        <w:pStyle w:val="Heading1"/>
      </w:pPr>
      <w:bookmarkStart w:id="1" w:name="O_1253557"/>
      <w:bookmarkEnd w:id="1"/>
      <w:r w:rsidRPr="004B5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5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AB">
            <w:pPr>
              <w:pStyle w:val="BodyTextBold"/>
              <w:rPr>
                <w:lang w:val="en-NZ"/>
              </w:rPr>
            </w:pPr>
            <w:r w:rsidRPr="004B54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AB">
            <w:pPr>
              <w:pStyle w:val="BodyTextBold"/>
              <w:rPr>
                <w:lang w:val="en-NZ"/>
              </w:rPr>
            </w:pPr>
            <w:r w:rsidRPr="004B54AB">
              <w:t>Comments</w:t>
            </w:r>
          </w:p>
        </w:tc>
      </w:tr>
      <w:tr w:rsidTr="004B5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AB">
            <w:pPr>
              <w:pStyle w:val="BodyText"/>
              <w:rPr>
                <w:lang w:val="en-NZ"/>
              </w:rPr>
            </w:pPr>
            <w:r w:rsidRPr="004B54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AB" w:rsidP="004B54AB">
            <w:pPr>
              <w:pStyle w:val="BodyText"/>
            </w:pPr>
            <w:r w:rsidRPr="004B54AB">
              <w:t>This version released with AMP Australian Meat Processing Training Package Version 8.0.</w:t>
            </w:r>
          </w:p>
        </w:tc>
      </w:tr>
    </w:tbl>
    <w:p w:rsidR="00000000" w:rsidRPr="004B54AB" w:rsidP="004B54AB">
      <w:pPr>
        <w:pStyle w:val="BodyText"/>
      </w:pPr>
    </w:p>
    <w:p w:rsidR="00000000" w:rsidRPr="004B54AB" w:rsidP="004B54AB">
      <w:pPr>
        <w:pStyle w:val="AllowPageBreak"/>
      </w:pPr>
    </w:p>
    <w:p w:rsidR="00000000" w:rsidRPr="004B54AB" w:rsidP="004B54AB">
      <w:pPr>
        <w:pStyle w:val="Heading1"/>
      </w:pPr>
      <w:bookmarkStart w:id="2" w:name="O_1253558"/>
      <w:bookmarkEnd w:id="2"/>
      <w:r w:rsidRPr="004B54AB">
        <w:t>Performance Evidence</w:t>
      </w:r>
    </w:p>
    <w:p w:rsidR="00000000" w:rsidRPr="004B54AB" w:rsidP="00AE0CFA">
      <w:pPr>
        <w:pStyle w:val="BodyText"/>
      </w:pPr>
      <w:r w:rsidRPr="004B54AB">
        <w:t>An individual demonstrating competency must satisfy all of the elements and performance criteria in this unit.</w:t>
      </w:r>
    </w:p>
    <w:p w:rsidR="00000000" w:rsidRPr="004B54AB" w:rsidP="00AE0CFA">
      <w:pPr>
        <w:pStyle w:val="BodyText"/>
      </w:pPr>
      <w:r w:rsidRPr="004B54AB">
        <w:t>There must be evidence that the individual has graded beef carcases using Meat Standards Australia (MSA) standards on at lea</w:t>
      </w:r>
      <w:r w:rsidRPr="004B54AB">
        <w:t>st one occasion, including:</w:t>
      </w:r>
    </w:p>
    <w:p w:rsidR="00000000" w:rsidRPr="004B54AB" w:rsidP="004B54AB">
      <w:pPr>
        <w:pStyle w:val="ListBullet"/>
      </w:pPr>
      <w:r w:rsidRPr="004B54AB">
        <w:t>demonstrated proficiency with all aspects of the Data Capture Unit (DCU) system</w:t>
      </w:r>
    </w:p>
    <w:p w:rsidR="00000000" w:rsidRPr="004B54AB" w:rsidP="004B54AB">
      <w:pPr>
        <w:pStyle w:val="ListBullet"/>
      </w:pPr>
      <w:r w:rsidRPr="004B54AB">
        <w:t>demonstrated proficiency with all aspects of handling MSA grading data</w:t>
      </w:r>
    </w:p>
    <w:p w:rsidR="00000000" w:rsidRPr="004B54AB" w:rsidP="004B54AB">
      <w:pPr>
        <w:pStyle w:val="ListBullet"/>
      </w:pPr>
      <w:r w:rsidRPr="004B54AB">
        <w:t>described all carcase attributes that are collected</w:t>
      </w:r>
    </w:p>
    <w:p w:rsidR="00000000" w:rsidRPr="004B54AB" w:rsidP="004B54AB">
      <w:pPr>
        <w:pStyle w:val="ListBullet"/>
      </w:pPr>
      <w:r w:rsidRPr="004B54AB">
        <w:t>accurately assessed all carcase attributes required to generate an eating quality outcome</w:t>
      </w:r>
    </w:p>
    <w:p w:rsidR="00000000" w:rsidRPr="004B54AB" w:rsidP="004B54AB">
      <w:pPr>
        <w:pStyle w:val="ListBullet"/>
      </w:pPr>
      <w:r w:rsidRPr="004B54AB">
        <w:t>applied an appropriate carcase identification system</w:t>
      </w:r>
    </w:p>
    <w:p w:rsidR="00000000" w:rsidRPr="004B54AB" w:rsidP="004B54AB">
      <w:pPr>
        <w:pStyle w:val="ListBullet"/>
      </w:pPr>
      <w:r w:rsidRPr="004B54AB">
        <w:t>complied with workplace and regulatory requirements and applied all MSA grading reports</w:t>
      </w:r>
    </w:p>
    <w:p w:rsidR="00000000" w:rsidRPr="004B54AB" w:rsidP="004B54AB">
      <w:pPr>
        <w:pStyle w:val="ListBullet"/>
      </w:pPr>
      <w:r w:rsidRPr="004B54AB">
        <w:t>correlated grading report</w:t>
      </w:r>
      <w:r w:rsidRPr="004B54AB">
        <w:t>s using the On-Site Correlation and Practice Program (OsCap) to industry standards.</w:t>
      </w:r>
    </w:p>
    <w:p w:rsidR="00000000" w:rsidRPr="004B54AB" w:rsidP="004B54AB">
      <w:pPr>
        <w:pStyle w:val="AllowPageBreak"/>
      </w:pPr>
    </w:p>
    <w:p w:rsidR="00000000" w:rsidRPr="004B54AB" w:rsidP="004B54AB">
      <w:pPr>
        <w:pStyle w:val="Heading1"/>
      </w:pPr>
      <w:bookmarkStart w:id="3" w:name="O_1253559"/>
      <w:bookmarkEnd w:id="3"/>
      <w:r w:rsidRPr="004B54AB">
        <w:t>Knowledge Evidence</w:t>
      </w:r>
    </w:p>
    <w:p w:rsidR="00000000" w:rsidRPr="004B54AB" w:rsidP="00AE0CFA">
      <w:pPr>
        <w:pStyle w:val="BodyText"/>
      </w:pPr>
      <w:r w:rsidRPr="004B54AB">
        <w:t>An individual must be able to demonstrate the knowledge required to perform the tasks outlined in the elements and performance criteri</w:t>
      </w:r>
      <w:r w:rsidRPr="004B54AB">
        <w:t>a of this unit. This includes knowledge of:</w:t>
      </w:r>
    </w:p>
    <w:p w:rsidR="00000000" w:rsidRPr="004B54AB" w:rsidP="004B54AB">
      <w:pPr>
        <w:pStyle w:val="ListBullet"/>
      </w:pPr>
      <w:r w:rsidRPr="004B54AB">
        <w:t>requirements of the MSA Standards Manual</w:t>
      </w:r>
    </w:p>
    <w:p w:rsidR="00000000" w:rsidRPr="004B54AB" w:rsidP="004B54AB">
      <w:pPr>
        <w:pStyle w:val="ListBullet"/>
      </w:pPr>
      <w:r w:rsidRPr="004B54AB">
        <w:t>carcase hanging methods and their impact on eating quality</w:t>
      </w:r>
    </w:p>
    <w:p w:rsidR="00000000" w:rsidRPr="004B54AB" w:rsidP="004B54AB">
      <w:pPr>
        <w:pStyle w:val="ListBullet"/>
      </w:pPr>
      <w:r w:rsidRPr="004B54AB">
        <w:t>importance of subcutaneous fat coverage</w:t>
      </w:r>
    </w:p>
    <w:p w:rsidR="00000000" w:rsidRPr="004B54AB" w:rsidP="004B54AB">
      <w:pPr>
        <w:pStyle w:val="ListBullet"/>
      </w:pPr>
      <w:r w:rsidRPr="004B54AB">
        <w:t>the impact of hump height and tropical breed content on eating quality</w:t>
      </w:r>
    </w:p>
    <w:p w:rsidR="00000000" w:rsidRPr="004B54AB" w:rsidP="004B54AB">
      <w:pPr>
        <w:pStyle w:val="ListBullet"/>
      </w:pPr>
      <w:r w:rsidRPr="004B54AB">
        <w:t>MSA marbling requirements</w:t>
      </w:r>
    </w:p>
    <w:p w:rsidR="00000000" w:rsidRPr="004B54AB" w:rsidP="004B54AB">
      <w:pPr>
        <w:pStyle w:val="ListBullet"/>
      </w:pPr>
      <w:r w:rsidRPr="004B54AB">
        <w:t>how to determine carcase maturity</w:t>
      </w:r>
    </w:p>
    <w:p w:rsidR="00000000" w:rsidRPr="004B54AB" w:rsidP="004B54AB">
      <w:pPr>
        <w:pStyle w:val="ListBullet"/>
      </w:pPr>
      <w:r w:rsidRPr="004B54AB">
        <w:t>how to determine hide puller damage requirements, and the impact on eating quality</w:t>
      </w:r>
    </w:p>
    <w:p w:rsidR="00000000" w:rsidRPr="004B54AB" w:rsidP="004B54AB">
      <w:pPr>
        <w:pStyle w:val="ListBullet"/>
      </w:pPr>
      <w:r w:rsidRPr="004B54AB">
        <w:t>essential operating conditions for use of the MSA system, including the equipment required for grading</w:t>
      </w:r>
    </w:p>
    <w:p w:rsidR="00000000" w:rsidRPr="004B54AB" w:rsidP="004B54AB">
      <w:pPr>
        <w:pStyle w:val="ListBullet"/>
      </w:pPr>
      <w:r w:rsidRPr="004B54AB">
        <w:t>informatio</w:t>
      </w:r>
      <w:r w:rsidRPr="004B54AB">
        <w:t>n on a carcase ticket that is necessary for MSA Grading</w:t>
      </w:r>
    </w:p>
    <w:p w:rsidR="00000000" w:rsidRPr="004B54AB" w:rsidP="004B54AB">
      <w:pPr>
        <w:pStyle w:val="ListBullet"/>
      </w:pPr>
      <w:r w:rsidRPr="004B54AB">
        <w:t>MSA vendor declaration system</w:t>
      </w:r>
    </w:p>
    <w:p w:rsidR="00000000" w:rsidRPr="004B54AB" w:rsidP="004B54AB">
      <w:pPr>
        <w:pStyle w:val="ListBullet"/>
      </w:pPr>
      <w:r w:rsidRPr="004B54AB">
        <w:t>relationship between DCU, plant boning runs, and cut x cook outcomes</w:t>
      </w:r>
    </w:p>
    <w:p w:rsidR="00000000" w:rsidRPr="004B54AB" w:rsidP="004B54AB">
      <w:pPr>
        <w:pStyle w:val="ListBullet"/>
      </w:pPr>
      <w:r w:rsidRPr="004B54AB">
        <w:t>how ageing affects eating quality and how its effect is incorporated onto the MSA system</w:t>
      </w:r>
    </w:p>
    <w:p w:rsidR="00000000" w:rsidRPr="004B54AB" w:rsidP="004B54AB">
      <w:pPr>
        <w:pStyle w:val="ListBullet"/>
      </w:pPr>
      <w:r w:rsidRPr="004B54AB">
        <w:t>MSA feedback requirements</w:t>
      </w:r>
    </w:p>
    <w:p w:rsidR="00000000" w:rsidRPr="004B54AB" w:rsidP="004B54AB">
      <w:pPr>
        <w:pStyle w:val="ListBullet"/>
      </w:pPr>
      <w:r w:rsidRPr="004B54AB">
        <w:t>pH requirements and the impact on eating quality</w:t>
      </w:r>
    </w:p>
    <w:p w:rsidR="00000000" w:rsidRPr="004B54AB" w:rsidP="004B54AB">
      <w:pPr>
        <w:pStyle w:val="ListBullet"/>
      </w:pPr>
      <w:r w:rsidRPr="004B54AB">
        <w:t>AUS-MEAT chiller assessment standards</w:t>
      </w:r>
    </w:p>
    <w:p w:rsidR="00000000" w:rsidRPr="004B54AB" w:rsidP="004B54AB">
      <w:pPr>
        <w:pStyle w:val="ListBullet"/>
      </w:pPr>
      <w:r w:rsidRPr="004B54AB">
        <w:t>what an MQ4 score is and its relationship with MSA bands of eating quality</w:t>
      </w:r>
    </w:p>
    <w:p w:rsidR="00000000" w:rsidRPr="004B54AB" w:rsidP="004B54AB">
      <w:pPr>
        <w:pStyle w:val="ListBullet"/>
      </w:pPr>
      <w:r w:rsidRPr="004B54AB">
        <w:t>link between carcase ticket information and grading results</w:t>
      </w:r>
    </w:p>
    <w:p w:rsidR="00000000" w:rsidRPr="004B54AB" w:rsidP="004B54AB">
      <w:pPr>
        <w:pStyle w:val="ListBullet"/>
      </w:pPr>
      <w:r w:rsidRPr="004B54AB">
        <w:t>MSA mini</w:t>
      </w:r>
      <w:r w:rsidRPr="004B54AB">
        <w:t>mum requirements</w:t>
      </w:r>
    </w:p>
    <w:p w:rsidR="00000000" w:rsidRPr="004B54AB" w:rsidP="004B54AB">
      <w:pPr>
        <w:pStyle w:val="ListBullet"/>
      </w:pPr>
      <w:r w:rsidRPr="004B54AB">
        <w:t>Palatability Analysis Critical Control Points (PACCP) approach to eating quality</w:t>
      </w:r>
    </w:p>
    <w:p w:rsidR="00000000" w:rsidRPr="004B54AB" w:rsidP="004B54AB">
      <w:pPr>
        <w:pStyle w:val="ListBullet"/>
      </w:pPr>
      <w:r w:rsidRPr="004B54AB">
        <w:t>relationship between cut and cooking method</w:t>
      </w:r>
    </w:p>
    <w:p w:rsidR="00000000" w:rsidRPr="004B54AB" w:rsidP="004B54AB">
      <w:pPr>
        <w:pStyle w:val="ListBullet"/>
      </w:pPr>
      <w:r w:rsidRPr="004B54AB">
        <w:t>role of plant boning runs</w:t>
      </w:r>
    </w:p>
    <w:p w:rsidR="00000000" w:rsidRPr="004B54AB" w:rsidP="004B54AB">
      <w:pPr>
        <w:pStyle w:val="ListBullet"/>
      </w:pPr>
      <w:r w:rsidRPr="004B54AB">
        <w:t xml:space="preserve">minimum standards for MSA livestock eligibility </w:t>
      </w:r>
    </w:p>
    <w:p w:rsidR="00000000" w:rsidRPr="004B54AB" w:rsidP="004B54AB">
      <w:pPr>
        <w:pStyle w:val="ListBullet"/>
      </w:pPr>
      <w:r w:rsidRPr="004B54AB">
        <w:t>minimum standards for MSA grader perfor</w:t>
      </w:r>
      <w:r w:rsidRPr="004B54AB">
        <w:t>mance</w:t>
      </w:r>
    </w:p>
    <w:p w:rsidR="00000000" w:rsidRPr="004B54AB" w:rsidP="004B54AB">
      <w:pPr>
        <w:pStyle w:val="ListBullet"/>
      </w:pPr>
      <w:r w:rsidRPr="004B54AB">
        <w:t>potential grading problems and suggested solutions</w:t>
      </w:r>
    </w:p>
    <w:p w:rsidR="00000000" w:rsidRPr="004B54AB" w:rsidP="004B54AB">
      <w:pPr>
        <w:pStyle w:val="ListBullet"/>
      </w:pPr>
      <w:r w:rsidRPr="004B54AB">
        <w:t>MSA grading reports</w:t>
      </w:r>
    </w:p>
    <w:p w:rsidR="00000000" w:rsidRPr="004B54AB" w:rsidP="004B54AB">
      <w:pPr>
        <w:pStyle w:val="ListBullet"/>
      </w:pPr>
      <w:r w:rsidRPr="004B54AB">
        <w:t>how to maintain currency of knowledge about grading.</w:t>
      </w:r>
    </w:p>
    <w:p w:rsidR="00000000" w:rsidRPr="004B54AB" w:rsidP="004B54AB">
      <w:pPr>
        <w:pStyle w:val="AllowPageBreak"/>
      </w:pPr>
    </w:p>
    <w:p w:rsidR="00000000" w:rsidRPr="004B54AB" w:rsidP="004B54AB">
      <w:pPr>
        <w:pStyle w:val="Heading1"/>
      </w:pPr>
      <w:bookmarkStart w:id="4" w:name="O_1253560"/>
      <w:bookmarkEnd w:id="4"/>
      <w:r w:rsidRPr="004B54AB">
        <w:t>Assessment Conditions</w:t>
      </w:r>
    </w:p>
    <w:p w:rsidR="00000000" w:rsidRPr="004B54AB" w:rsidP="00AE0CFA">
      <w:pPr>
        <w:pStyle w:val="BodyText"/>
      </w:pPr>
      <w:r w:rsidRPr="004B54AB">
        <w:t>Assessment of the skills in this unit of competency must take place under the followi</w:t>
      </w:r>
      <w:r w:rsidRPr="004B54AB">
        <w:t>ng conditions:</w:t>
      </w:r>
    </w:p>
    <w:p w:rsidR="00000000" w:rsidRPr="004B54AB" w:rsidP="004B54AB">
      <w:pPr>
        <w:pStyle w:val="ListBullet"/>
      </w:pPr>
      <w:r w:rsidRPr="004B54AB">
        <w:t>physical conditions:</w:t>
      </w:r>
    </w:p>
    <w:p w:rsidR="00000000" w:rsidRPr="004B54AB" w:rsidP="004B54AB">
      <w:pPr>
        <w:pStyle w:val="ListBullet2"/>
      </w:pPr>
      <w:r w:rsidRPr="004B54AB">
        <w:t>skills must be demonstrated in a meat processing workplace or an environment that accurately represents workplace conditions</w:t>
      </w:r>
    </w:p>
    <w:p w:rsidR="00000000" w:rsidRPr="004B54AB" w:rsidP="004B54AB">
      <w:pPr>
        <w:pStyle w:val="ListBullet"/>
      </w:pPr>
      <w:r w:rsidRPr="004B54AB">
        <w:t>resources, equipment and materials:</w:t>
      </w:r>
    </w:p>
    <w:p w:rsidR="00000000" w:rsidRPr="004B54AB" w:rsidP="004B54AB">
      <w:pPr>
        <w:pStyle w:val="ListBullet2"/>
      </w:pPr>
      <w:r w:rsidRPr="004B54AB">
        <w:t>MSA systems, including hardware and software, for grading</w:t>
      </w:r>
    </w:p>
    <w:p w:rsidR="00000000" w:rsidRPr="004B54AB" w:rsidP="004B54AB">
      <w:pPr>
        <w:pStyle w:val="ListBullet2"/>
      </w:pPr>
      <w:r w:rsidRPr="004B54AB">
        <w:t>beef carcases for grading</w:t>
      </w:r>
    </w:p>
    <w:p w:rsidR="00000000" w:rsidRPr="004B54AB" w:rsidP="004B54AB">
      <w:pPr>
        <w:pStyle w:val="ListBullet"/>
      </w:pPr>
      <w:r w:rsidRPr="004B54AB">
        <w:t>specifications:</w:t>
      </w:r>
    </w:p>
    <w:p w:rsidR="00000000" w:rsidRPr="004B54AB" w:rsidP="004B54AB">
      <w:pPr>
        <w:pStyle w:val="ListBullet2"/>
      </w:pPr>
      <w:r w:rsidRPr="004B54AB">
        <w:t>workplace procedures, including advice on safe work practices and meat safety</w:t>
      </w:r>
    </w:p>
    <w:p w:rsidR="00000000" w:rsidRPr="004B54AB" w:rsidP="004B54AB">
      <w:pPr>
        <w:pStyle w:val="ListBullet2"/>
      </w:pPr>
      <w:r w:rsidRPr="004B54AB">
        <w:t>MSA Standards Manual.</w:t>
      </w:r>
    </w:p>
    <w:p w:rsidR="00000000" w:rsidRPr="004B54AB" w:rsidP="00AE0CFA">
      <w:pPr>
        <w:pStyle w:val="BodyText"/>
      </w:pPr>
      <w:r w:rsidRPr="004B54AB">
        <w:t>Assessment for this unit must include at least three f</w:t>
      </w:r>
      <w:r w:rsidRPr="004B54AB">
        <w:t>orms of evidence.</w:t>
      </w:r>
    </w:p>
    <w:p w:rsidR="00000000" w:rsidRPr="004B54AB" w:rsidP="00AE0CFA">
      <w:pPr>
        <w:pStyle w:val="BodyText"/>
      </w:pPr>
      <w:r w:rsidRPr="004B54AB">
        <w:t>Assessors of this unit must satisfy the requirements for assessors in applicable vocational education and training legislation, frameworks and/or standards.</w:t>
      </w:r>
    </w:p>
    <w:p w:rsidR="00000000" w:rsidRPr="004B54AB" w:rsidP="004B54AB">
      <w:pPr>
        <w:pStyle w:val="Heading1"/>
      </w:pPr>
      <w:bookmarkStart w:id="5" w:name="O_1253563"/>
      <w:bookmarkEnd w:id="5"/>
      <w:r w:rsidRPr="004B54AB">
        <w:t>Links</w:t>
      </w:r>
    </w:p>
    <w:p w:rsidR="00000000" w:rsidRPr="004B54AB" w:rsidP="00AE0CFA">
      <w:pPr>
        <w:pStyle w:val="BodyText"/>
      </w:pPr>
      <w:r w:rsidRPr="004B54AB">
        <w:t xml:space="preserve">Companion Volumes, including Implementation Guides, are </w:t>
      </w:r>
      <w:r w:rsidRPr="004B54AB">
        <w:t xml:space="preserve">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18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54AB" w:rsidP="004B54AB"/>
    <w:sectPr w:rsidSect="004B5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AB" w:rsidRPr="00AE0CFA" w:rsidP="00AE0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FA" w:rsidP="004B5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CFA" w:rsidP="004B5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0CFA" w:rsidP="004B5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4AB" w:rsidRPr="00AE0CFA" w:rsidP="00AE0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FA" w:rsidRPr="002D2AF8" w:rsidP="004B5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AMPQUA308 Grade beef carcases using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0CFA" w:rsidP="004B5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368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6D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B62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4AB"/>
  </w:style>
  <w:style w:type="character" w:customStyle="1" w:styleId="Heading1Char">
    <w:name w:val="Heading 1 Char"/>
    <w:basedOn w:val="DefaultParagraphFont"/>
    <w:link w:val="Heading1"/>
    <w:rsid w:val="004B5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54AB"/>
    <w:rPr>
      <w:b/>
    </w:rPr>
  </w:style>
  <w:style w:type="character" w:customStyle="1" w:styleId="Heading2Char">
    <w:name w:val="Heading 2 Char"/>
    <w:basedOn w:val="DefaultParagraphFont"/>
    <w:link w:val="Heading2"/>
    <w:rsid w:val="004B5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4AB"/>
    <w:rPr>
      <w:b/>
      <w:spacing w:val="0"/>
    </w:rPr>
  </w:style>
  <w:style w:type="paragraph" w:customStyle="1" w:styleId="SuperTitle">
    <w:name w:val="SuperTitle"/>
    <w:basedOn w:val="Title"/>
    <w:rsid w:val="004B5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4AB"/>
    <w:rPr>
      <w:i/>
    </w:rPr>
  </w:style>
  <w:style w:type="paragraph" w:styleId="Caption">
    <w:name w:val="caption"/>
    <w:basedOn w:val="BodyText"/>
    <w:next w:val="Normal"/>
    <w:qFormat/>
    <w:rsid w:val="004B5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4AB"/>
  </w:style>
  <w:style w:type="paragraph" w:styleId="TableofFigures">
    <w:name w:val="table of figures"/>
    <w:basedOn w:val="Normal"/>
    <w:next w:val="Normal"/>
    <w:semiHidden/>
    <w:rsid w:val="004B5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4AB"/>
    <w:rPr>
      <w:rFonts w:ascii="Wingdings" w:hAnsi="Wingdings"/>
    </w:rPr>
  </w:style>
  <w:style w:type="paragraph" w:customStyle="1" w:styleId="TableHeading">
    <w:name w:val="Table Heading"/>
    <w:basedOn w:val="HeadingBase"/>
    <w:rsid w:val="004B5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4AB"/>
    <w:rPr>
      <w:color w:val="0033CC"/>
      <w:u w:val="none"/>
    </w:rPr>
  </w:style>
  <w:style w:type="paragraph" w:customStyle="1" w:styleId="BodyTextRight">
    <w:name w:val="Body Text Right"/>
    <w:basedOn w:val="BodyText"/>
    <w:rsid w:val="004B5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4AB"/>
    <w:rPr>
      <w:sz w:val="32"/>
    </w:rPr>
  </w:style>
  <w:style w:type="paragraph" w:customStyle="1" w:styleId="HeadingProcedure">
    <w:name w:val="Heading Procedure"/>
    <w:basedOn w:val="HeadingBase"/>
    <w:next w:val="Normal"/>
    <w:rsid w:val="004B5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4AB"/>
    <w:pPr>
      <w:spacing w:before="60" w:after="60"/>
    </w:pPr>
  </w:style>
  <w:style w:type="paragraph" w:styleId="ListContinue">
    <w:name w:val="List Continue"/>
    <w:basedOn w:val="List"/>
    <w:rsid w:val="004B54AB"/>
    <w:pPr>
      <w:ind w:firstLine="0"/>
    </w:pPr>
  </w:style>
  <w:style w:type="paragraph" w:customStyle="1" w:styleId="ListNote">
    <w:name w:val="List Note"/>
    <w:basedOn w:val="List"/>
    <w:rsid w:val="004B5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4AB"/>
    <w:rPr>
      <w:rFonts w:ascii="Courier New" w:hAnsi="Courier New"/>
    </w:rPr>
  </w:style>
  <w:style w:type="paragraph" w:customStyle="1" w:styleId="NoteBullet">
    <w:name w:val="Note Bullet"/>
    <w:basedOn w:val="Note"/>
    <w:rsid w:val="004B5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4AB"/>
    <w:rPr>
      <w:b/>
      <w:smallCaps/>
    </w:rPr>
  </w:style>
  <w:style w:type="paragraph" w:customStyle="1" w:styleId="TableListNumber">
    <w:name w:val="Table List Number"/>
    <w:basedOn w:val="ListNumber"/>
    <w:rsid w:val="004B5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4AB"/>
    <w:pPr>
      <w:numPr>
        <w:numId w:val="9"/>
      </w:numPr>
    </w:pPr>
  </w:style>
  <w:style w:type="paragraph" w:customStyle="1" w:styleId="ListAlpha2">
    <w:name w:val="List Alpha 2"/>
    <w:basedOn w:val="List2"/>
    <w:rsid w:val="004B54AB"/>
    <w:pPr>
      <w:numPr>
        <w:numId w:val="8"/>
      </w:numPr>
    </w:pPr>
  </w:style>
  <w:style w:type="paragraph" w:styleId="List2">
    <w:name w:val="List 2"/>
    <w:basedOn w:val="BodyText"/>
    <w:rsid w:val="004B5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4AB"/>
    <w:pPr>
      <w:numPr>
        <w:numId w:val="4"/>
      </w:numPr>
    </w:pPr>
  </w:style>
  <w:style w:type="paragraph" w:styleId="ListContinue2">
    <w:name w:val="List Continue 2"/>
    <w:basedOn w:val="List2"/>
    <w:rsid w:val="004B54AB"/>
    <w:pPr>
      <w:ind w:firstLine="0"/>
    </w:pPr>
  </w:style>
  <w:style w:type="paragraph" w:styleId="ListContinue3">
    <w:name w:val="List Continue 3"/>
    <w:basedOn w:val="List3"/>
    <w:rsid w:val="004B54AB"/>
    <w:pPr>
      <w:ind w:left="1021" w:firstLine="0"/>
    </w:pPr>
  </w:style>
  <w:style w:type="paragraph" w:styleId="ListContinue4">
    <w:name w:val="List Continue 4"/>
    <w:basedOn w:val="List4"/>
    <w:rsid w:val="004B54AB"/>
    <w:pPr>
      <w:ind w:firstLine="0"/>
    </w:pPr>
  </w:style>
  <w:style w:type="paragraph" w:styleId="ListContinue5">
    <w:name w:val="List Continue 5"/>
    <w:basedOn w:val="List5"/>
    <w:rsid w:val="004B54AB"/>
    <w:pPr>
      <w:ind w:firstLine="0"/>
    </w:pPr>
  </w:style>
  <w:style w:type="paragraph" w:styleId="ListNumber3">
    <w:name w:val="List Number 3"/>
    <w:basedOn w:val="List3"/>
    <w:rsid w:val="004B54AB"/>
    <w:pPr>
      <w:numPr>
        <w:numId w:val="5"/>
      </w:numPr>
    </w:pPr>
  </w:style>
  <w:style w:type="paragraph" w:styleId="ListNumber4">
    <w:name w:val="List Number 4"/>
    <w:basedOn w:val="List4"/>
    <w:rsid w:val="004B54AB"/>
    <w:pPr>
      <w:numPr>
        <w:numId w:val="6"/>
      </w:numPr>
    </w:pPr>
  </w:style>
  <w:style w:type="paragraph" w:styleId="ListNumber5">
    <w:name w:val="List Number 5"/>
    <w:basedOn w:val="List5"/>
    <w:rsid w:val="004B54AB"/>
    <w:pPr>
      <w:numPr>
        <w:numId w:val="7"/>
      </w:numPr>
    </w:pPr>
  </w:style>
  <w:style w:type="paragraph" w:styleId="BlockText">
    <w:name w:val="Block Text"/>
    <w:basedOn w:val="Normal"/>
    <w:rsid w:val="004B5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4AB"/>
    <w:rPr>
      <w:sz w:val="16"/>
      <w:vertAlign w:val="superscript"/>
    </w:rPr>
  </w:style>
  <w:style w:type="character" w:customStyle="1" w:styleId="Symbols">
    <w:name w:val="Symbols"/>
    <w:basedOn w:val="DefaultParagraphFont"/>
    <w:rsid w:val="004B54AB"/>
    <w:rPr>
      <w:rFonts w:ascii="Symbol" w:hAnsi="Symbol"/>
    </w:rPr>
  </w:style>
  <w:style w:type="character" w:customStyle="1" w:styleId="MenuOptions">
    <w:name w:val="Menu Options"/>
    <w:basedOn w:val="DefaultParagraphFont"/>
    <w:rsid w:val="004B5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4AB"/>
    <w:rPr>
      <w:b/>
    </w:rPr>
  </w:style>
  <w:style w:type="character" w:customStyle="1" w:styleId="Underlined">
    <w:name w:val="Underlined"/>
    <w:basedOn w:val="DefaultParagraphFont"/>
    <w:rsid w:val="004B54AB"/>
    <w:rPr>
      <w:u w:val="single"/>
    </w:rPr>
  </w:style>
  <w:style w:type="paragraph" w:customStyle="1" w:styleId="TableBodyTextRight">
    <w:name w:val="Table Body Text Right"/>
    <w:basedOn w:val="TableBodyText"/>
    <w:rsid w:val="004B5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4AB"/>
    <w:rPr>
      <w:sz w:val="18"/>
    </w:rPr>
  </w:style>
  <w:style w:type="paragraph" w:customStyle="1" w:styleId="BodySmallRight">
    <w:name w:val="Body Small Right"/>
    <w:basedOn w:val="BodyTextRight"/>
    <w:rsid w:val="004B54AB"/>
    <w:rPr>
      <w:sz w:val="18"/>
      <w:szCs w:val="18"/>
    </w:rPr>
  </w:style>
  <w:style w:type="paragraph" w:customStyle="1" w:styleId="MarginEdition">
    <w:name w:val="Margin Edition"/>
    <w:basedOn w:val="MarginNote"/>
    <w:rsid w:val="004B5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4AB"/>
    <w:rPr>
      <w:sz w:val="2"/>
      <w:szCs w:val="2"/>
    </w:rPr>
  </w:style>
  <w:style w:type="character" w:customStyle="1" w:styleId="Small">
    <w:name w:val="Small"/>
    <w:basedOn w:val="DefaultParagraphFont"/>
    <w:rsid w:val="004B54AB"/>
    <w:rPr>
      <w:sz w:val="16"/>
    </w:rPr>
  </w:style>
  <w:style w:type="paragraph" w:customStyle="1" w:styleId="WideTable">
    <w:name w:val="Wide Table"/>
    <w:basedOn w:val="Normal"/>
    <w:rsid w:val="004B5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4AB"/>
  </w:style>
  <w:style w:type="paragraph" w:styleId="Quote">
    <w:name w:val="Quote"/>
    <w:basedOn w:val="Heading1"/>
    <w:link w:val="QuoteChar"/>
    <w:qFormat/>
    <w:rsid w:val="004B5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4AB"/>
    <w:pPr>
      <w:pageBreakBefore/>
    </w:pPr>
  </w:style>
  <w:style w:type="paragraph" w:customStyle="1" w:styleId="Border">
    <w:name w:val="Border"/>
    <w:basedOn w:val="Normal"/>
    <w:qFormat/>
    <w:rsid w:val="004B5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4AB"/>
    <w:rPr>
      <w:u w:val="single"/>
    </w:rPr>
  </w:style>
  <w:style w:type="character" w:customStyle="1" w:styleId="BoldandItalics">
    <w:name w:val="Bold and Italics"/>
    <w:qFormat/>
    <w:rsid w:val="004B54AB"/>
    <w:rPr>
      <w:b/>
      <w:i/>
      <w:u w:val="none"/>
    </w:rPr>
  </w:style>
  <w:style w:type="paragraph" w:styleId="BalloonText">
    <w:name w:val="Balloon Text"/>
    <w:basedOn w:val="Normal"/>
    <w:link w:val="BalloonTextChar"/>
    <w:rsid w:val="004B5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0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3246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AMPQUA308 Grade beef carcases using MSA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