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EF8" w:rsidP="00731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AMPMSY415 Conduct post-mortem inspection in micro meat processing premises - Wild game</w:t>
      </w:r>
      <w:r>
        <w:fldChar w:fldCharType="end"/>
      </w:r>
    </w:p>
    <w:p w:rsidR="00731EF8" w:rsidP="00731EF8">
      <w:pPr>
        <w:pStyle w:val="Version"/>
        <w:sectPr w:rsidSect="00B33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F3E" w:rsidP="00B33F3E">
      <w:pPr>
        <w:pStyle w:val="SuperHeading"/>
      </w:pPr>
      <w:r w:rsidRPr="00B33F3E">
        <w:t>Assessment Requirements for AMPMSY415 Conduct post-mortem inspection in micro meat processing premises - Wild game</w:t>
      </w:r>
    </w:p>
    <w:p w:rsidR="00000000" w:rsidRPr="00B33F3E" w:rsidP="00B33F3E">
      <w:pPr>
        <w:pStyle w:val="Heading1"/>
      </w:pPr>
      <w:bookmarkStart w:id="1" w:name="O_1266943"/>
      <w:bookmarkEnd w:id="1"/>
      <w:r w:rsidRPr="00B33F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3F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3E">
            <w:pPr>
              <w:pStyle w:val="BodyTextBold"/>
              <w:rPr>
                <w:lang w:val="en-NZ"/>
              </w:rPr>
            </w:pPr>
            <w:r w:rsidRPr="00B33F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3E">
            <w:pPr>
              <w:pStyle w:val="BodyTextBold"/>
              <w:rPr>
                <w:lang w:val="en-NZ"/>
              </w:rPr>
            </w:pPr>
            <w:r w:rsidRPr="00B33F3E">
              <w:t>Comments</w:t>
            </w:r>
          </w:p>
        </w:tc>
      </w:tr>
      <w:tr w:rsidTr="00B33F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F3E">
            <w:pPr>
              <w:pStyle w:val="BodyText"/>
              <w:rPr>
                <w:lang w:val="en-NZ"/>
              </w:rPr>
            </w:pPr>
            <w:r w:rsidRPr="00B33F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F3E" w:rsidP="00B33F3E">
            <w:pPr>
              <w:pStyle w:val="BodyText"/>
            </w:pPr>
            <w:r w:rsidRPr="00B33F3E">
              <w:t>This version released with AMP Australian Meat Processing Training Package Version 8.0.</w:t>
            </w:r>
          </w:p>
        </w:tc>
      </w:tr>
    </w:tbl>
    <w:p w:rsidR="00000000" w:rsidRPr="00B33F3E" w:rsidP="00B33F3E">
      <w:pPr>
        <w:pStyle w:val="BodyText"/>
      </w:pPr>
    </w:p>
    <w:p w:rsidR="00000000" w:rsidRPr="00B33F3E" w:rsidP="00B33F3E">
      <w:pPr>
        <w:pStyle w:val="AllowPageBreak"/>
      </w:pPr>
    </w:p>
    <w:p w:rsidR="00000000" w:rsidRPr="00B33F3E" w:rsidP="00B33F3E">
      <w:pPr>
        <w:pStyle w:val="Heading1"/>
      </w:pPr>
      <w:bookmarkStart w:id="2" w:name="O_1266944"/>
      <w:bookmarkEnd w:id="2"/>
      <w:r w:rsidRPr="00B33F3E">
        <w:t>Performance Evidence</w:t>
      </w:r>
    </w:p>
    <w:p w:rsidR="00000000" w:rsidRPr="00B33F3E" w:rsidP="00731EF8">
      <w:pPr>
        <w:pStyle w:val="BodyText"/>
      </w:pPr>
      <w:r w:rsidRPr="00B33F3E">
        <w:t>An individual demonstrating competency must satisfy all of the elements and performance criteria in this unit.</w:t>
      </w:r>
    </w:p>
    <w:p w:rsidR="00000000" w:rsidRPr="00B33F3E" w:rsidP="00731EF8">
      <w:pPr>
        <w:pStyle w:val="BodyText"/>
      </w:pPr>
      <w:r w:rsidRPr="00B33F3E">
        <w:t>There must be e</w:t>
      </w:r>
      <w:r w:rsidRPr="00B33F3E">
        <w:t>vidence that the individual has conducted post-mortem inspection of wild game in a micro meat processing premises, including:</w:t>
      </w:r>
    </w:p>
    <w:p w:rsidR="00000000" w:rsidRPr="00B33F3E" w:rsidP="00B33F3E">
      <w:pPr>
        <w:pStyle w:val="ListBullet"/>
      </w:pPr>
      <w:r w:rsidRPr="00B33F3E">
        <w:t>performed at least 10 post-mortem inspections of wild game for each species covered at the premises</w:t>
      </w:r>
    </w:p>
    <w:p w:rsidR="00000000" w:rsidRPr="00B33F3E" w:rsidP="00B33F3E">
      <w:pPr>
        <w:pStyle w:val="ListBullet"/>
      </w:pPr>
      <w:r w:rsidRPr="00B33F3E">
        <w:t xml:space="preserve">adhered to regulatory requirements, including the relevant Australian Standard </w:t>
      </w:r>
    </w:p>
    <w:p w:rsidR="00000000" w:rsidRPr="00B33F3E" w:rsidP="00B33F3E">
      <w:pPr>
        <w:pStyle w:val="ListBullet"/>
      </w:pPr>
      <w:r w:rsidRPr="00B33F3E">
        <w:t>made correct dispositions for the common diseases and conditions found at post-mortem in accordance with relevant Australian Standard.</w:t>
      </w:r>
    </w:p>
    <w:p w:rsidR="00000000" w:rsidRPr="00B33F3E" w:rsidP="00B33F3E">
      <w:pPr>
        <w:pStyle w:val="BodyTextBold"/>
      </w:pPr>
      <w:r w:rsidRPr="00B33F3E">
        <w:t>Mandatory workplace requirements</w:t>
      </w:r>
    </w:p>
    <w:p w:rsidR="00000000" w:rsidRPr="00B33F3E" w:rsidP="00731EF8">
      <w:pPr>
        <w:pStyle w:val="BodyText"/>
      </w:pPr>
      <w:r w:rsidRPr="00B33F3E">
        <w:t>All perf</w:t>
      </w:r>
      <w:r w:rsidRPr="00B33F3E">
        <w:t>ormance evidence specified above must be demonstrated in a wild game animal processing premises.</w:t>
      </w:r>
    </w:p>
    <w:p w:rsidR="00000000" w:rsidRPr="00B33F3E" w:rsidP="00B33F3E">
      <w:pPr>
        <w:pStyle w:val="Heading1"/>
      </w:pPr>
      <w:bookmarkStart w:id="3" w:name="O_1266945"/>
      <w:bookmarkEnd w:id="3"/>
      <w:r w:rsidRPr="00B33F3E">
        <w:t>Knowledge Evidence</w:t>
      </w:r>
    </w:p>
    <w:p w:rsidR="00000000" w:rsidRPr="00B33F3E" w:rsidP="00731EF8">
      <w:pPr>
        <w:pStyle w:val="BodyText"/>
      </w:pPr>
      <w:r w:rsidRPr="00B33F3E">
        <w:t>An individual must be able to demonstrate the knowledge required to perform the tasks outlined in the elements and perfor</w:t>
      </w:r>
      <w:r w:rsidRPr="00B33F3E">
        <w:t>mance criteria of this unit. This includes knowledge of:</w:t>
      </w:r>
    </w:p>
    <w:p w:rsidR="00000000" w:rsidRPr="00B33F3E" w:rsidP="00B33F3E">
      <w:pPr>
        <w:pStyle w:val="ListBullet"/>
      </w:pPr>
      <w:r w:rsidRPr="00B33F3E">
        <w:t>target market for the species being inspected, and purpose of post-mortem inspections</w:t>
      </w:r>
    </w:p>
    <w:p w:rsidR="00000000" w:rsidRPr="00B33F3E" w:rsidP="00B33F3E">
      <w:pPr>
        <w:pStyle w:val="ListBullet"/>
      </w:pPr>
      <w:r w:rsidRPr="00B33F3E">
        <w:t>anatomy and physiology of species related to post-mortem inspection processes</w:t>
      </w:r>
    </w:p>
    <w:p w:rsidR="00000000" w:rsidRPr="00B33F3E" w:rsidP="00B33F3E">
      <w:pPr>
        <w:pStyle w:val="ListBullet"/>
      </w:pPr>
      <w:r w:rsidRPr="00B33F3E">
        <w:t>key requirements of Australian Sta</w:t>
      </w:r>
      <w:r w:rsidRPr="00B33F3E">
        <w:t>ndards relevant to processing of wild game</w:t>
      </w:r>
    </w:p>
    <w:p w:rsidR="00000000" w:rsidRPr="00B33F3E" w:rsidP="00B33F3E">
      <w:pPr>
        <w:pStyle w:val="ListBullet"/>
      </w:pPr>
      <w:r w:rsidRPr="00B33F3E">
        <w:t>steps in post-mortem inspections</w:t>
      </w:r>
    </w:p>
    <w:p w:rsidR="00000000" w:rsidRPr="00B33F3E" w:rsidP="00B33F3E">
      <w:pPr>
        <w:pStyle w:val="ListBullet"/>
      </w:pPr>
      <w:r w:rsidRPr="00B33F3E">
        <w:t xml:space="preserve">common abnormalities, diseases and conditions that affect targeted wild game species </w:t>
      </w:r>
    </w:p>
    <w:p w:rsidR="00000000" w:rsidRPr="00B33F3E" w:rsidP="00B33F3E">
      <w:pPr>
        <w:pStyle w:val="ListBullet"/>
      </w:pPr>
      <w:r w:rsidRPr="00B33F3E">
        <w:t xml:space="preserve">common post-mortem dispositions </w:t>
      </w:r>
    </w:p>
    <w:p w:rsidR="00000000" w:rsidRPr="00B33F3E" w:rsidP="00B33F3E">
      <w:pPr>
        <w:pStyle w:val="ListBullet"/>
      </w:pPr>
      <w:r w:rsidRPr="00B33F3E">
        <w:t>notifiable diseases that affect wild game animals within juri</w:t>
      </w:r>
      <w:r w:rsidRPr="00B33F3E">
        <w:t>sdiction</w:t>
      </w:r>
    </w:p>
    <w:p w:rsidR="00000000" w:rsidRPr="00B33F3E" w:rsidP="00B33F3E">
      <w:pPr>
        <w:pStyle w:val="ListBullet"/>
      </w:pPr>
      <w:r w:rsidRPr="00B33F3E">
        <w:t>equipment used for post-mortem inspections</w:t>
      </w:r>
    </w:p>
    <w:p w:rsidR="00000000" w:rsidRPr="00B33F3E" w:rsidP="00B33F3E">
      <w:pPr>
        <w:pStyle w:val="ListBullet"/>
      </w:pPr>
      <w:r w:rsidRPr="00B33F3E">
        <w:t>role of equipment for meeting hygiene and sanitation and workplace requirements</w:t>
      </w:r>
    </w:p>
    <w:p w:rsidR="00000000" w:rsidRPr="00B33F3E" w:rsidP="00B33F3E">
      <w:pPr>
        <w:pStyle w:val="ListBullet"/>
      </w:pPr>
      <w:r w:rsidRPr="00B33F3E">
        <w:t>correct technique for incision of parts and organs</w:t>
      </w:r>
    </w:p>
    <w:p w:rsidR="00000000" w:rsidRPr="00B33F3E" w:rsidP="00B33F3E">
      <w:pPr>
        <w:pStyle w:val="ListBullet"/>
      </w:pPr>
      <w:r w:rsidRPr="00B33F3E">
        <w:t>sampling methods to test for diseases and conditions in carcase</w:t>
      </w:r>
    </w:p>
    <w:p w:rsidR="00000000" w:rsidRPr="00B33F3E" w:rsidP="00B33F3E">
      <w:pPr>
        <w:pStyle w:val="ListBullet"/>
      </w:pPr>
      <w:r w:rsidRPr="00B33F3E">
        <w:t xml:space="preserve">types of </w:t>
      </w:r>
      <w:r w:rsidRPr="00B33F3E">
        <w:t>specimens removed from wild game for testing</w:t>
      </w:r>
    </w:p>
    <w:p w:rsidR="00000000" w:rsidRPr="00B33F3E" w:rsidP="00B33F3E">
      <w:pPr>
        <w:pStyle w:val="ListBullet"/>
      </w:pPr>
      <w:r w:rsidRPr="00B33F3E">
        <w:t>role of National Association of Testing Authorities (NATA) accredited laboratories</w:t>
      </w:r>
    </w:p>
    <w:p w:rsidR="00000000" w:rsidRPr="00B33F3E" w:rsidP="00B33F3E">
      <w:pPr>
        <w:pStyle w:val="ListBullet"/>
      </w:pPr>
      <w:r w:rsidRPr="00B33F3E">
        <w:t>segregation requirements for suspect carcases</w:t>
      </w:r>
    </w:p>
    <w:p w:rsidR="00000000" w:rsidRPr="00B33F3E" w:rsidP="00B33F3E">
      <w:pPr>
        <w:pStyle w:val="ListBullet"/>
      </w:pPr>
      <w:r w:rsidRPr="00B33F3E">
        <w:t>the humane techniques used when shooting animals that can be seen at post-mortem</w:t>
      </w:r>
    </w:p>
    <w:p w:rsidR="00000000" w:rsidRPr="00B33F3E" w:rsidP="00B33F3E">
      <w:pPr>
        <w:pStyle w:val="ListBullet"/>
      </w:pPr>
      <w:r w:rsidRPr="00B33F3E">
        <w:t>workplace procedures and regulatory requirements for:</w:t>
      </w:r>
    </w:p>
    <w:p w:rsidR="00000000" w:rsidRPr="00B33F3E" w:rsidP="00B33F3E">
      <w:pPr>
        <w:pStyle w:val="ListBullet2"/>
      </w:pPr>
      <w:r w:rsidRPr="00B33F3E">
        <w:t>post-mortem inspection of wild game</w:t>
      </w:r>
    </w:p>
    <w:p w:rsidR="00000000" w:rsidRPr="00B33F3E" w:rsidP="00B33F3E">
      <w:pPr>
        <w:pStyle w:val="ListBullet2"/>
      </w:pPr>
      <w:r w:rsidRPr="00B33F3E">
        <w:t>hygiene and sanitation</w:t>
      </w:r>
    </w:p>
    <w:p w:rsidR="00000000" w:rsidRPr="00B33F3E" w:rsidP="00B33F3E">
      <w:pPr>
        <w:pStyle w:val="ListBullet2"/>
      </w:pPr>
      <w:r w:rsidRPr="00B33F3E">
        <w:t>retaining carcases</w:t>
      </w:r>
    </w:p>
    <w:p w:rsidR="00000000" w:rsidRPr="00B33F3E" w:rsidP="00B33F3E">
      <w:pPr>
        <w:pStyle w:val="ListBullet2"/>
      </w:pPr>
      <w:r w:rsidRPr="00B33F3E">
        <w:t>identifying, collecting and submitting specimens</w:t>
      </w:r>
    </w:p>
    <w:p w:rsidR="00000000" w:rsidRPr="00B33F3E" w:rsidP="00B33F3E">
      <w:pPr>
        <w:pStyle w:val="ListBullet2"/>
      </w:pPr>
      <w:r w:rsidRPr="00B33F3E">
        <w:t>disposal of condemned carcase</w:t>
      </w:r>
    </w:p>
    <w:p w:rsidR="00000000" w:rsidRPr="00B33F3E" w:rsidP="00B33F3E">
      <w:pPr>
        <w:pStyle w:val="ListBullet2"/>
      </w:pPr>
      <w:r w:rsidRPr="00B33F3E">
        <w:t>reporting on post-mortem</w:t>
      </w:r>
    </w:p>
    <w:p w:rsidR="00000000" w:rsidRPr="00B33F3E" w:rsidP="00B33F3E">
      <w:pPr>
        <w:pStyle w:val="ListBullet"/>
      </w:pPr>
      <w:r w:rsidRPr="00B33F3E">
        <w:t>the relevant regis</w:t>
      </w:r>
      <w:r w:rsidRPr="00B33F3E">
        <w:t xml:space="preserve">tration processes and procedures for meat inspectors at their specific premises </w:t>
      </w:r>
    </w:p>
    <w:p w:rsidR="00000000" w:rsidRPr="00B33F3E" w:rsidP="00B33F3E">
      <w:pPr>
        <w:pStyle w:val="ListBullet"/>
      </w:pPr>
      <w:r w:rsidRPr="00B33F3E">
        <w:t>workplace health and safety requirements, including the correct use of personal protective equipment (PPE)</w:t>
      </w:r>
    </w:p>
    <w:p w:rsidR="00000000" w:rsidRPr="00B33F3E" w:rsidP="00B33F3E">
      <w:pPr>
        <w:pStyle w:val="ListBullet"/>
      </w:pPr>
      <w:r w:rsidRPr="00B33F3E">
        <w:t>workplace hazards.</w:t>
      </w:r>
    </w:p>
    <w:p w:rsidR="00000000" w:rsidRPr="00B33F3E" w:rsidP="00B33F3E">
      <w:pPr>
        <w:pStyle w:val="AllowPageBreak"/>
      </w:pPr>
    </w:p>
    <w:p w:rsidR="00000000" w:rsidRPr="00B33F3E" w:rsidP="00B33F3E">
      <w:pPr>
        <w:pStyle w:val="Heading1"/>
      </w:pPr>
      <w:bookmarkStart w:id="4" w:name="O_1266946"/>
      <w:bookmarkEnd w:id="4"/>
      <w:r w:rsidRPr="00B33F3E">
        <w:t>Assessment Conditions</w:t>
      </w:r>
    </w:p>
    <w:p w:rsidR="00000000" w:rsidRPr="00B33F3E" w:rsidP="00731EF8">
      <w:pPr>
        <w:pStyle w:val="BodyText"/>
      </w:pPr>
      <w:r w:rsidRPr="00B33F3E">
        <w:t>Assessment of the skills in this unit of competency must take place under the following conditions:</w:t>
      </w:r>
    </w:p>
    <w:p w:rsidR="00000000" w:rsidRPr="00B33F3E" w:rsidP="00B33F3E">
      <w:pPr>
        <w:pStyle w:val="ListBullet"/>
      </w:pPr>
      <w:r w:rsidRPr="00B33F3E">
        <w:t>physical conditions:</w:t>
      </w:r>
    </w:p>
    <w:p w:rsidR="00000000" w:rsidRPr="00B33F3E" w:rsidP="00B33F3E">
      <w:pPr>
        <w:pStyle w:val="ListBullet2"/>
      </w:pPr>
      <w:r w:rsidRPr="00B33F3E">
        <w:rPr>
          <w:rStyle w:val="Emphasis"/>
        </w:rPr>
        <w:t>skills must be demonstrated in a wild game animal processing premises</w:t>
      </w:r>
    </w:p>
    <w:p w:rsidR="00000000" w:rsidRPr="00B33F3E" w:rsidP="00B33F3E">
      <w:pPr>
        <w:pStyle w:val="ListBullet"/>
      </w:pPr>
      <w:r w:rsidRPr="00B33F3E">
        <w:t>resources, equipment and materials:</w:t>
      </w:r>
    </w:p>
    <w:p w:rsidR="00000000" w:rsidRPr="00B33F3E" w:rsidP="00B33F3E">
      <w:pPr>
        <w:pStyle w:val="ListBullet2"/>
      </w:pPr>
      <w:r w:rsidRPr="00B33F3E">
        <w:rPr>
          <w:rStyle w:val="Emphasis"/>
        </w:rPr>
        <w:t>wild game carcases</w:t>
      </w:r>
    </w:p>
    <w:p w:rsidR="00000000" w:rsidRPr="00B33F3E" w:rsidP="00B33F3E">
      <w:pPr>
        <w:pStyle w:val="ListBullet2"/>
      </w:pPr>
      <w:r w:rsidRPr="00B33F3E">
        <w:rPr>
          <w:rStyle w:val="Emphasis"/>
        </w:rPr>
        <w:t>sampli</w:t>
      </w:r>
      <w:r w:rsidRPr="00B33F3E">
        <w:rPr>
          <w:rStyle w:val="Emphasis"/>
        </w:rPr>
        <w:t>ng equipment</w:t>
      </w:r>
    </w:p>
    <w:p w:rsidR="00000000" w:rsidRPr="00B33F3E" w:rsidP="00B33F3E">
      <w:pPr>
        <w:pStyle w:val="ListBullet"/>
      </w:pPr>
      <w:r w:rsidRPr="00B33F3E">
        <w:t>specifications:</w:t>
      </w:r>
    </w:p>
    <w:p w:rsidR="00000000" w:rsidRPr="00B33F3E" w:rsidP="00B33F3E">
      <w:pPr>
        <w:pStyle w:val="ListBullet2"/>
      </w:pPr>
      <w:r w:rsidRPr="00B33F3E">
        <w:rPr>
          <w:rStyle w:val="Emphasis"/>
        </w:rPr>
        <w:t>workplace standard operating procedures</w:t>
      </w:r>
    </w:p>
    <w:p w:rsidR="00000000" w:rsidRPr="00B33F3E" w:rsidP="00B33F3E">
      <w:pPr>
        <w:pStyle w:val="ListBullet2"/>
      </w:pPr>
      <w:r w:rsidRPr="00B33F3E">
        <w:rPr>
          <w:rStyle w:val="Emphasis"/>
        </w:rPr>
        <w:t>relevant Australian Standards</w:t>
      </w:r>
    </w:p>
    <w:p w:rsidR="00000000" w:rsidRPr="00B33F3E" w:rsidP="00B33F3E">
      <w:pPr>
        <w:pStyle w:val="ListBullet2"/>
      </w:pPr>
      <w:r w:rsidRPr="00B33F3E">
        <w:rPr>
          <w:rStyle w:val="Emphasis"/>
        </w:rPr>
        <w:t>regulatory requirements for site</w:t>
      </w:r>
    </w:p>
    <w:p w:rsidR="00000000" w:rsidRPr="00B33F3E" w:rsidP="00B33F3E">
      <w:pPr>
        <w:pStyle w:val="ListBullet2"/>
      </w:pPr>
      <w:r w:rsidRPr="00B33F3E">
        <w:rPr>
          <w:rStyle w:val="Emphasis"/>
        </w:rPr>
        <w:t>PPE</w:t>
      </w:r>
    </w:p>
    <w:p w:rsidR="00000000" w:rsidRPr="00B33F3E" w:rsidP="00B33F3E">
      <w:pPr>
        <w:pStyle w:val="ListBullet"/>
      </w:pPr>
      <w:r w:rsidRPr="00B33F3E">
        <w:t>relationships:</w:t>
      </w:r>
    </w:p>
    <w:p w:rsidR="00000000" w:rsidRPr="00B33F3E" w:rsidP="00B33F3E">
      <w:pPr>
        <w:pStyle w:val="ListBullet2"/>
      </w:pPr>
      <w:r w:rsidRPr="00B33F3E">
        <w:rPr>
          <w:rStyle w:val="Emphasis"/>
        </w:rPr>
        <w:t>under the supervision of a meat inspector or a suitably qualified supervisor</w:t>
      </w:r>
    </w:p>
    <w:p w:rsidR="00000000" w:rsidRPr="00B33F3E" w:rsidP="00B33F3E">
      <w:pPr>
        <w:pStyle w:val="ListBullet"/>
      </w:pPr>
      <w:r w:rsidRPr="00B33F3E">
        <w:t>timeframes:</w:t>
      </w:r>
    </w:p>
    <w:p w:rsidR="00000000" w:rsidRPr="00B33F3E" w:rsidP="00B33F3E">
      <w:pPr>
        <w:pStyle w:val="ListBullet2"/>
      </w:pPr>
      <w:r w:rsidRPr="00B33F3E">
        <w:rPr>
          <w:rStyle w:val="Emphasis"/>
        </w:rPr>
        <w:t>post-mortem inspections must be performed at normal production speed.</w:t>
      </w:r>
    </w:p>
    <w:p w:rsidR="00000000" w:rsidRPr="00B33F3E" w:rsidP="00731EF8">
      <w:pPr>
        <w:pStyle w:val="BodyText"/>
      </w:pPr>
      <w:r w:rsidRPr="00B33F3E">
        <w:t>Assessment for this unit must include at least three forms of evidence.</w:t>
      </w:r>
    </w:p>
    <w:p w:rsidR="00000000" w:rsidRPr="00B33F3E" w:rsidP="00731EF8">
      <w:pPr>
        <w:pStyle w:val="BodyText"/>
      </w:pPr>
      <w:r w:rsidRPr="00B33F3E">
        <w:t>Assessors of this unit must satisfy the requirements for assessors in applicable vocational education and training</w:t>
      </w:r>
      <w:r w:rsidRPr="00B33F3E">
        <w:t xml:space="preserve"> legislation, frameworks and/or standards.</w:t>
      </w:r>
    </w:p>
    <w:p w:rsidR="00000000" w:rsidRPr="00B33F3E" w:rsidP="00731EF8">
      <w:pPr>
        <w:pStyle w:val="BodyText"/>
      </w:pPr>
      <w:r w:rsidRPr="00B33F3E">
        <w:t>A suitably qualified supervisor must hold AMPMSY407 Perform post-mortem inspection – Wild game or have equivalent and current skills and knowledge.</w:t>
      </w:r>
    </w:p>
    <w:p w:rsidR="00000000" w:rsidRPr="00B33F3E" w:rsidP="00B33F3E">
      <w:pPr>
        <w:pStyle w:val="BodyTextBold"/>
      </w:pPr>
      <w:r w:rsidRPr="00B33F3E">
        <w:t>Mandatory workplace requirements</w:t>
      </w:r>
    </w:p>
    <w:p w:rsidR="00000000" w:rsidRPr="00B33F3E" w:rsidP="00731EF8">
      <w:pPr>
        <w:pStyle w:val="BodyText"/>
      </w:pPr>
      <w:r w:rsidRPr="00B33F3E">
        <w:t>Mandatory workplace requirement</w:t>
      </w:r>
      <w:r w:rsidRPr="00B33F3E">
        <w:t xml:space="preserve">s are shown in </w:t>
      </w:r>
      <w:r w:rsidRPr="00B33F3E">
        <w:rPr>
          <w:rStyle w:val="Emphasis"/>
        </w:rPr>
        <w:t>italic</w:t>
      </w:r>
      <w:r w:rsidRPr="00B33F3E">
        <w:t xml:space="preserve"> text. Refer to the Companion Volume Implementation Guide for further information.</w:t>
      </w:r>
    </w:p>
    <w:p w:rsidR="00000000" w:rsidRPr="00B33F3E" w:rsidP="00B33F3E">
      <w:pPr>
        <w:pStyle w:val="Heading1"/>
      </w:pPr>
      <w:bookmarkStart w:id="5" w:name="O_1266949"/>
      <w:bookmarkEnd w:id="5"/>
      <w:r w:rsidRPr="00B33F3E">
        <w:t>Links</w:t>
      </w:r>
    </w:p>
    <w:p w:rsidR="00000000" w:rsidRPr="00B33F3E" w:rsidP="00731EF8">
      <w:pPr>
        <w:pStyle w:val="BodyText"/>
      </w:pPr>
      <w:r w:rsidRPr="00B33F3E">
        <w:t>Companion Volumes, in</w:t>
      </w:r>
      <w:r w:rsidRPr="00B33F3E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0A1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33F3E" w:rsidP="00B33F3E"/>
    <w:sectPr w:rsidSect="00B33F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3E" w:rsidRPr="00731EF8" w:rsidP="00731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F8" w:rsidP="00B33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EF8" w:rsidP="00B33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1EF8" w:rsidP="00B33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F3E" w:rsidRPr="00731EF8" w:rsidP="00731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F8" w:rsidRPr="002D2AF8" w:rsidP="00B33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AMPMSY415 Conduct post-mortem inspection in micro meat processing premises -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31EF8" w:rsidP="00B33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A7E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E2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308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F3E"/>
  </w:style>
  <w:style w:type="character" w:customStyle="1" w:styleId="Heading1Char">
    <w:name w:val="Heading 1 Char"/>
    <w:basedOn w:val="DefaultParagraphFont"/>
    <w:link w:val="Heading1"/>
    <w:rsid w:val="00B33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F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F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3F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3F3E"/>
    <w:rPr>
      <w:i/>
    </w:rPr>
  </w:style>
  <w:style w:type="paragraph" w:customStyle="1" w:styleId="SuperHeading">
    <w:name w:val="SuperHeading"/>
    <w:basedOn w:val="Normal"/>
    <w:rsid w:val="00B33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3F3E"/>
    <w:rPr>
      <w:b/>
    </w:rPr>
  </w:style>
  <w:style w:type="character" w:customStyle="1" w:styleId="Heading2Char">
    <w:name w:val="Heading 2 Char"/>
    <w:basedOn w:val="DefaultParagraphFont"/>
    <w:link w:val="Heading2"/>
    <w:rsid w:val="00B33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F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3F3E"/>
    <w:rPr>
      <w:b/>
      <w:spacing w:val="0"/>
    </w:rPr>
  </w:style>
  <w:style w:type="paragraph" w:customStyle="1" w:styleId="SuperTitle">
    <w:name w:val="SuperTitle"/>
    <w:basedOn w:val="Title"/>
    <w:rsid w:val="00B33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F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F3E"/>
  </w:style>
  <w:style w:type="paragraph" w:styleId="TableofFigures">
    <w:name w:val="table of figures"/>
    <w:basedOn w:val="Normal"/>
    <w:next w:val="Normal"/>
    <w:semiHidden/>
    <w:rsid w:val="00B33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F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F3E"/>
    <w:rPr>
      <w:rFonts w:ascii="Wingdings" w:hAnsi="Wingdings"/>
    </w:rPr>
  </w:style>
  <w:style w:type="paragraph" w:customStyle="1" w:styleId="TableHeading">
    <w:name w:val="Table Heading"/>
    <w:basedOn w:val="HeadingBase"/>
    <w:rsid w:val="00B33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F3E"/>
    <w:rPr>
      <w:color w:val="0033CC"/>
      <w:u w:val="none"/>
    </w:rPr>
  </w:style>
  <w:style w:type="paragraph" w:customStyle="1" w:styleId="BodyTextRight">
    <w:name w:val="Body Text Right"/>
    <w:basedOn w:val="BodyText"/>
    <w:rsid w:val="00B33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F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F3E"/>
    <w:rPr>
      <w:sz w:val="32"/>
    </w:rPr>
  </w:style>
  <w:style w:type="paragraph" w:customStyle="1" w:styleId="HeadingProcedure">
    <w:name w:val="Heading Procedure"/>
    <w:basedOn w:val="HeadingBase"/>
    <w:next w:val="Normal"/>
    <w:rsid w:val="00B33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F3E"/>
    <w:pPr>
      <w:spacing w:before="60" w:after="60"/>
    </w:pPr>
  </w:style>
  <w:style w:type="paragraph" w:styleId="ListContinue">
    <w:name w:val="List Continue"/>
    <w:basedOn w:val="List"/>
    <w:rsid w:val="00B33F3E"/>
    <w:pPr>
      <w:ind w:firstLine="0"/>
    </w:pPr>
  </w:style>
  <w:style w:type="paragraph" w:customStyle="1" w:styleId="ListNote">
    <w:name w:val="List Note"/>
    <w:basedOn w:val="List"/>
    <w:rsid w:val="00B33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F3E"/>
    <w:rPr>
      <w:rFonts w:ascii="Courier New" w:hAnsi="Courier New"/>
    </w:rPr>
  </w:style>
  <w:style w:type="paragraph" w:customStyle="1" w:styleId="NoteBullet">
    <w:name w:val="Note Bullet"/>
    <w:basedOn w:val="Note"/>
    <w:rsid w:val="00B33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F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F3E"/>
    <w:rPr>
      <w:b/>
      <w:smallCaps/>
    </w:rPr>
  </w:style>
  <w:style w:type="paragraph" w:customStyle="1" w:styleId="TableListNumber">
    <w:name w:val="Table List Number"/>
    <w:basedOn w:val="ListNumber"/>
    <w:rsid w:val="00B33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F3E"/>
    <w:pPr>
      <w:numPr>
        <w:numId w:val="9"/>
      </w:numPr>
    </w:pPr>
  </w:style>
  <w:style w:type="paragraph" w:customStyle="1" w:styleId="ListAlpha2">
    <w:name w:val="List Alpha 2"/>
    <w:basedOn w:val="List2"/>
    <w:rsid w:val="00B33F3E"/>
    <w:pPr>
      <w:numPr>
        <w:numId w:val="8"/>
      </w:numPr>
    </w:pPr>
  </w:style>
  <w:style w:type="paragraph" w:styleId="List2">
    <w:name w:val="List 2"/>
    <w:basedOn w:val="BodyText"/>
    <w:rsid w:val="00B33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F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F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F3E"/>
    <w:pPr>
      <w:numPr>
        <w:numId w:val="4"/>
      </w:numPr>
    </w:pPr>
  </w:style>
  <w:style w:type="paragraph" w:styleId="ListContinue2">
    <w:name w:val="List Continue 2"/>
    <w:basedOn w:val="List2"/>
    <w:rsid w:val="00B33F3E"/>
    <w:pPr>
      <w:ind w:firstLine="0"/>
    </w:pPr>
  </w:style>
  <w:style w:type="paragraph" w:styleId="ListContinue3">
    <w:name w:val="List Continue 3"/>
    <w:basedOn w:val="List3"/>
    <w:rsid w:val="00B33F3E"/>
    <w:pPr>
      <w:ind w:left="1021" w:firstLine="0"/>
    </w:pPr>
  </w:style>
  <w:style w:type="paragraph" w:styleId="ListContinue4">
    <w:name w:val="List Continue 4"/>
    <w:basedOn w:val="List4"/>
    <w:rsid w:val="00B33F3E"/>
    <w:pPr>
      <w:ind w:firstLine="0"/>
    </w:pPr>
  </w:style>
  <w:style w:type="paragraph" w:styleId="ListContinue5">
    <w:name w:val="List Continue 5"/>
    <w:basedOn w:val="List5"/>
    <w:rsid w:val="00B33F3E"/>
    <w:pPr>
      <w:ind w:firstLine="0"/>
    </w:pPr>
  </w:style>
  <w:style w:type="paragraph" w:styleId="ListNumber3">
    <w:name w:val="List Number 3"/>
    <w:basedOn w:val="List3"/>
    <w:rsid w:val="00B33F3E"/>
    <w:pPr>
      <w:numPr>
        <w:numId w:val="5"/>
      </w:numPr>
    </w:pPr>
  </w:style>
  <w:style w:type="paragraph" w:styleId="ListNumber4">
    <w:name w:val="List Number 4"/>
    <w:basedOn w:val="List4"/>
    <w:rsid w:val="00B33F3E"/>
    <w:pPr>
      <w:numPr>
        <w:numId w:val="6"/>
      </w:numPr>
    </w:pPr>
  </w:style>
  <w:style w:type="paragraph" w:styleId="ListNumber5">
    <w:name w:val="List Number 5"/>
    <w:basedOn w:val="List5"/>
    <w:rsid w:val="00B33F3E"/>
    <w:pPr>
      <w:numPr>
        <w:numId w:val="7"/>
      </w:numPr>
    </w:pPr>
  </w:style>
  <w:style w:type="paragraph" w:styleId="BlockText">
    <w:name w:val="Block Text"/>
    <w:basedOn w:val="Normal"/>
    <w:rsid w:val="00B33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F3E"/>
    <w:rPr>
      <w:sz w:val="16"/>
      <w:vertAlign w:val="superscript"/>
    </w:rPr>
  </w:style>
  <w:style w:type="character" w:customStyle="1" w:styleId="Symbols">
    <w:name w:val="Symbols"/>
    <w:basedOn w:val="DefaultParagraphFont"/>
    <w:rsid w:val="00B33F3E"/>
    <w:rPr>
      <w:rFonts w:ascii="Symbol" w:hAnsi="Symbol"/>
    </w:rPr>
  </w:style>
  <w:style w:type="character" w:customStyle="1" w:styleId="MenuOptions">
    <w:name w:val="Menu Options"/>
    <w:basedOn w:val="DefaultParagraphFont"/>
    <w:rsid w:val="00B33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F3E"/>
    <w:rPr>
      <w:b/>
    </w:rPr>
  </w:style>
  <w:style w:type="character" w:customStyle="1" w:styleId="Underlined">
    <w:name w:val="Underlined"/>
    <w:basedOn w:val="DefaultParagraphFont"/>
    <w:rsid w:val="00B33F3E"/>
    <w:rPr>
      <w:u w:val="single"/>
    </w:rPr>
  </w:style>
  <w:style w:type="paragraph" w:customStyle="1" w:styleId="TableBodyTextRight">
    <w:name w:val="Table Body Text Right"/>
    <w:basedOn w:val="TableBodyText"/>
    <w:rsid w:val="00B33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F3E"/>
    <w:rPr>
      <w:sz w:val="18"/>
    </w:rPr>
  </w:style>
  <w:style w:type="paragraph" w:customStyle="1" w:styleId="BodySmallRight">
    <w:name w:val="Body Small Right"/>
    <w:basedOn w:val="BodyTextRight"/>
    <w:rsid w:val="00B33F3E"/>
    <w:rPr>
      <w:sz w:val="18"/>
      <w:szCs w:val="18"/>
    </w:rPr>
  </w:style>
  <w:style w:type="paragraph" w:customStyle="1" w:styleId="MarginEdition">
    <w:name w:val="Margin Edition"/>
    <w:basedOn w:val="MarginNote"/>
    <w:rsid w:val="00B33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F3E"/>
    <w:rPr>
      <w:sz w:val="2"/>
      <w:szCs w:val="2"/>
    </w:rPr>
  </w:style>
  <w:style w:type="character" w:customStyle="1" w:styleId="Small">
    <w:name w:val="Small"/>
    <w:basedOn w:val="DefaultParagraphFont"/>
    <w:rsid w:val="00B33F3E"/>
    <w:rPr>
      <w:sz w:val="16"/>
    </w:rPr>
  </w:style>
  <w:style w:type="paragraph" w:customStyle="1" w:styleId="WideTable">
    <w:name w:val="Wide Table"/>
    <w:basedOn w:val="Normal"/>
    <w:rsid w:val="00B33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F3E"/>
  </w:style>
  <w:style w:type="paragraph" w:styleId="Quote">
    <w:name w:val="Quote"/>
    <w:basedOn w:val="Heading1"/>
    <w:link w:val="QuoteChar"/>
    <w:qFormat/>
    <w:rsid w:val="00B33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F3E"/>
    <w:pPr>
      <w:pageBreakBefore/>
    </w:pPr>
  </w:style>
  <w:style w:type="paragraph" w:customStyle="1" w:styleId="Border">
    <w:name w:val="Border"/>
    <w:basedOn w:val="Normal"/>
    <w:qFormat/>
    <w:rsid w:val="00B33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F3E"/>
    <w:rPr>
      <w:u w:val="single"/>
    </w:rPr>
  </w:style>
  <w:style w:type="character" w:customStyle="1" w:styleId="BoldandItalics">
    <w:name w:val="Bold and Italics"/>
    <w:qFormat/>
    <w:rsid w:val="00B33F3E"/>
    <w:rPr>
      <w:b/>
      <w:i/>
      <w:u w:val="none"/>
    </w:rPr>
  </w:style>
  <w:style w:type="paragraph" w:styleId="BalloonText">
    <w:name w:val="Balloon Text"/>
    <w:basedOn w:val="Normal"/>
    <w:link w:val="BalloonTextChar"/>
    <w:rsid w:val="00B33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F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1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3654</Characters>
  <Application>Microsoft Office Word</Application>
  <DocSecurity>0</DocSecurity>
  <Lines>96</Lines>
  <Paragraphs>77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AMPMSY415 Conduct post-mortem inspection in micro meat processing premises - Wild game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