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9DC" w:rsidP="00136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AMPMSY407 Perform post-mortem inspection - Wild game</w:t>
      </w:r>
      <w:r>
        <w:fldChar w:fldCharType="end"/>
      </w:r>
    </w:p>
    <w:p w:rsidR="001369DC" w:rsidP="001369DC">
      <w:pPr>
        <w:pStyle w:val="Version"/>
        <w:sectPr w:rsidSect="001A2E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E11" w:rsidP="001A2E11">
      <w:pPr>
        <w:pStyle w:val="SuperHeading"/>
      </w:pPr>
      <w:r w:rsidRPr="001A2E11">
        <w:t>Assessment Requirements for AMPMSY407 Perform post-mortem inspection - Wild game</w:t>
      </w:r>
    </w:p>
    <w:p w:rsidR="00000000" w:rsidRPr="001A2E11" w:rsidP="001A2E11">
      <w:pPr>
        <w:pStyle w:val="Heading1"/>
      </w:pPr>
      <w:bookmarkStart w:id="1" w:name="O_1266212"/>
      <w:bookmarkEnd w:id="1"/>
      <w:r w:rsidRPr="001A2E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1">
            <w:pPr>
              <w:pStyle w:val="BodyTextBold"/>
              <w:rPr>
                <w:lang w:val="en-NZ"/>
              </w:rPr>
            </w:pPr>
            <w:r w:rsidRPr="001A2E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1">
            <w:pPr>
              <w:pStyle w:val="BodyTextBold"/>
              <w:rPr>
                <w:lang w:val="en-NZ"/>
              </w:rPr>
            </w:pPr>
            <w:r w:rsidRPr="001A2E11">
              <w:t>Comments</w:t>
            </w:r>
          </w:p>
        </w:tc>
      </w:tr>
      <w:tr w:rsidTr="001A2E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E11">
            <w:pPr>
              <w:pStyle w:val="BodyText"/>
              <w:rPr>
                <w:lang w:val="en-NZ"/>
              </w:rPr>
            </w:pPr>
            <w:r w:rsidRPr="001A2E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E11" w:rsidP="001A2E11">
            <w:pPr>
              <w:pStyle w:val="BodyText"/>
            </w:pPr>
            <w:r w:rsidRPr="001A2E11">
              <w:t>This version released with AMP Australian Meat Processing Training Package Version 8.0.</w:t>
            </w:r>
          </w:p>
        </w:tc>
      </w:tr>
    </w:tbl>
    <w:p w:rsidR="00000000" w:rsidRPr="001A2E11" w:rsidP="001A2E11">
      <w:pPr>
        <w:pStyle w:val="BodyText"/>
      </w:pPr>
    </w:p>
    <w:p w:rsidR="00000000" w:rsidRPr="001A2E11" w:rsidP="001A2E11">
      <w:pPr>
        <w:pStyle w:val="AllowPageBreak"/>
      </w:pPr>
    </w:p>
    <w:p w:rsidR="00000000" w:rsidRPr="001A2E11" w:rsidP="001A2E11">
      <w:pPr>
        <w:pStyle w:val="Heading1"/>
      </w:pPr>
      <w:bookmarkStart w:id="2" w:name="O_1266213"/>
      <w:bookmarkEnd w:id="2"/>
      <w:r w:rsidRPr="001A2E11">
        <w:t>Performance Evidence</w:t>
      </w:r>
    </w:p>
    <w:p w:rsidR="00000000" w:rsidRPr="001A2E11" w:rsidP="001369DC">
      <w:pPr>
        <w:pStyle w:val="BodyText"/>
      </w:pPr>
      <w:r w:rsidRPr="001A2E11">
        <w:t>An individual demonstrating competency must satisfy all of the elements and performance criteria in this unit.</w:t>
      </w:r>
    </w:p>
    <w:p w:rsidR="00000000" w:rsidRPr="001A2E11" w:rsidP="001369DC">
      <w:pPr>
        <w:pStyle w:val="BodyText"/>
      </w:pPr>
      <w:r w:rsidRPr="001A2E11">
        <w:t>There must be evidence that the individual has performed post-mortem inspection of wild game, including:</w:t>
      </w:r>
    </w:p>
    <w:p w:rsidR="00000000" w:rsidRPr="001A2E11" w:rsidP="001A2E11">
      <w:pPr>
        <w:pStyle w:val="ListBullet"/>
      </w:pPr>
      <w:r w:rsidRPr="001A2E11">
        <w:t>completed</w:t>
      </w:r>
      <w:r w:rsidRPr="001A2E11">
        <w:t xml:space="preserve"> at least 100 diarised hours of post-mortem inspection practice on the chain under the supervision of a qualified meat inspector or suitably qualified supervisor (note that this may be reduced to 50 hours if this is the second post-mortem inspection unit s</w:t>
      </w:r>
      <w:r w:rsidRPr="001A2E11">
        <w:t>elected)</w:t>
      </w:r>
    </w:p>
    <w:p w:rsidR="00000000" w:rsidRPr="001A2E11" w:rsidP="001A2E11">
      <w:pPr>
        <w:pStyle w:val="ListBullet"/>
      </w:pPr>
      <w:r w:rsidRPr="001A2E11">
        <w:t>adhered to regulatory requirements, including relevant Australian Standard</w:t>
      </w:r>
    </w:p>
    <w:p w:rsidR="00000000" w:rsidRPr="001A2E11" w:rsidP="001A2E11">
      <w:pPr>
        <w:pStyle w:val="ListBullet"/>
      </w:pPr>
      <w:r w:rsidRPr="001A2E11">
        <w:t>made correct dispositions for the emergency, notifiable and common diseases and conditions found at post-mortem according to relevant Australian Standard.</w:t>
      </w:r>
    </w:p>
    <w:p w:rsidR="00000000" w:rsidRPr="001A2E11" w:rsidP="001A2E11">
      <w:pPr>
        <w:pStyle w:val="BodyTextBold"/>
      </w:pPr>
      <w:r w:rsidRPr="001A2E11">
        <w:t>Mandatory workplace requirements</w:t>
      </w:r>
    </w:p>
    <w:p w:rsidR="00000000" w:rsidRPr="001A2E11" w:rsidP="001369DC">
      <w:pPr>
        <w:pStyle w:val="BodyText"/>
      </w:pPr>
      <w:r w:rsidRPr="001A2E11">
        <w:t>All performance evidence specified above must be demonstrated in a wild game processing establishment.</w:t>
      </w:r>
    </w:p>
    <w:p w:rsidR="00000000" w:rsidRPr="001A2E11" w:rsidP="001A2E11">
      <w:pPr>
        <w:pStyle w:val="Heading1"/>
      </w:pPr>
      <w:bookmarkStart w:id="3" w:name="O_1266214"/>
      <w:bookmarkEnd w:id="3"/>
      <w:r w:rsidRPr="001A2E11">
        <w:t>Knowledge Evidence</w:t>
      </w:r>
    </w:p>
    <w:p w:rsidR="00000000" w:rsidRPr="001A2E11" w:rsidP="001369DC">
      <w:pPr>
        <w:pStyle w:val="BodyText"/>
      </w:pPr>
      <w:r w:rsidRPr="001A2E11">
        <w:t>An individual must be able to demonstrate the knowledge required to perform the ta</w:t>
      </w:r>
      <w:r w:rsidRPr="001A2E11">
        <w:t>sks outlined in the elements and performance criteria of this unit. This includes knowledge of:</w:t>
      </w:r>
    </w:p>
    <w:p w:rsidR="00000000" w:rsidRPr="001A2E11" w:rsidP="001A2E11">
      <w:pPr>
        <w:pStyle w:val="ListBullet"/>
      </w:pPr>
      <w:r w:rsidRPr="001A2E11">
        <w:t>anatomy and physiology of wild game relevant to the species being inspected</w:t>
      </w:r>
    </w:p>
    <w:p w:rsidR="00000000" w:rsidRPr="001A2E11" w:rsidP="001A2E11">
      <w:pPr>
        <w:pStyle w:val="ListBullet"/>
      </w:pPr>
      <w:r w:rsidRPr="001A2E11">
        <w:t>target market for the species being inspected, and purpose of post-mortem inspectio</w:t>
      </w:r>
      <w:r w:rsidRPr="001A2E11">
        <w:t>ns</w:t>
      </w:r>
    </w:p>
    <w:p w:rsidR="00000000" w:rsidRPr="001A2E11" w:rsidP="001A2E11">
      <w:pPr>
        <w:pStyle w:val="ListBullet"/>
      </w:pPr>
      <w:r w:rsidRPr="001A2E11">
        <w:t>key requirements of Australian Standards relevant to dressed wild game</w:t>
      </w:r>
    </w:p>
    <w:p w:rsidR="00000000" w:rsidRPr="001A2E11" w:rsidP="001A2E11">
      <w:pPr>
        <w:pStyle w:val="ListBullet"/>
      </w:pPr>
      <w:r w:rsidRPr="001A2E11">
        <w:t>steps in post-mortem inspections</w:t>
      </w:r>
    </w:p>
    <w:p w:rsidR="00000000" w:rsidRPr="001A2E11" w:rsidP="001A2E11">
      <w:pPr>
        <w:pStyle w:val="ListBullet"/>
      </w:pPr>
      <w:r w:rsidRPr="001A2E11">
        <w:t xml:space="preserve">common diseases and conditions that affect wild game </w:t>
      </w:r>
    </w:p>
    <w:p w:rsidR="00000000" w:rsidRPr="001A2E11" w:rsidP="001A2E11">
      <w:pPr>
        <w:pStyle w:val="ListBullet"/>
      </w:pPr>
      <w:r w:rsidRPr="001A2E11">
        <w:t xml:space="preserve">common post-mortem dispositions </w:t>
      </w:r>
    </w:p>
    <w:p w:rsidR="00000000" w:rsidRPr="001A2E11" w:rsidP="001A2E11">
      <w:pPr>
        <w:pStyle w:val="ListBullet"/>
      </w:pPr>
      <w:r w:rsidRPr="001A2E11">
        <w:t>notifiable diseases that affect wild game within jurisdiction</w:t>
      </w:r>
    </w:p>
    <w:p w:rsidR="00000000" w:rsidRPr="001A2E11" w:rsidP="001A2E11">
      <w:pPr>
        <w:pStyle w:val="ListBullet"/>
      </w:pPr>
      <w:r w:rsidRPr="001A2E11">
        <w:t>regulatory requirements associated with emergency or notifiable diseases</w:t>
      </w:r>
    </w:p>
    <w:p w:rsidR="00000000" w:rsidRPr="001A2E11" w:rsidP="001A2E11">
      <w:pPr>
        <w:pStyle w:val="ListBullet"/>
      </w:pPr>
      <w:r w:rsidRPr="001A2E11">
        <w:t>equipment used for post-mortem inspections</w:t>
      </w:r>
    </w:p>
    <w:p w:rsidR="00000000" w:rsidRPr="001A2E11" w:rsidP="001A2E11">
      <w:pPr>
        <w:pStyle w:val="ListBullet"/>
      </w:pPr>
      <w:r w:rsidRPr="001A2E11">
        <w:t>safe work procedures for working with, sharpening and storing knives</w:t>
      </w:r>
    </w:p>
    <w:p w:rsidR="00000000" w:rsidRPr="001A2E11" w:rsidP="001A2E11">
      <w:pPr>
        <w:pStyle w:val="ListBullet"/>
      </w:pPr>
      <w:r w:rsidRPr="001A2E11">
        <w:t>role of equipment for meeting hygiene and sanitation and workplace requ</w:t>
      </w:r>
      <w:r w:rsidRPr="001A2E11">
        <w:t>irements</w:t>
      </w:r>
    </w:p>
    <w:p w:rsidR="00000000" w:rsidRPr="001A2E11" w:rsidP="001A2E11">
      <w:pPr>
        <w:pStyle w:val="ListBullet"/>
      </w:pPr>
      <w:r w:rsidRPr="001A2E11">
        <w:t>correct technique for incision of parts and organs</w:t>
      </w:r>
    </w:p>
    <w:p w:rsidR="00000000" w:rsidRPr="001A2E11" w:rsidP="001A2E11">
      <w:pPr>
        <w:pStyle w:val="ListBullet"/>
      </w:pPr>
      <w:r w:rsidRPr="001A2E11">
        <w:t>sampling methods to test for diseases and conditions in carcase</w:t>
      </w:r>
    </w:p>
    <w:p w:rsidR="00000000" w:rsidRPr="001A2E11" w:rsidP="001A2E11">
      <w:pPr>
        <w:pStyle w:val="ListBullet"/>
      </w:pPr>
      <w:r w:rsidRPr="001A2E11">
        <w:t>types of specimens removed from wild game for testing</w:t>
      </w:r>
    </w:p>
    <w:p w:rsidR="00000000" w:rsidRPr="001A2E11" w:rsidP="001A2E11">
      <w:pPr>
        <w:pStyle w:val="ListBullet"/>
      </w:pPr>
      <w:r w:rsidRPr="001A2E11">
        <w:t>role of National Association of Testing Authorities (NATA) accredited laborato</w:t>
      </w:r>
      <w:r w:rsidRPr="001A2E11">
        <w:t>ries</w:t>
      </w:r>
    </w:p>
    <w:p w:rsidR="00000000" w:rsidRPr="001A2E11" w:rsidP="001A2E11">
      <w:pPr>
        <w:pStyle w:val="ListBullet"/>
      </w:pPr>
      <w:r w:rsidRPr="001A2E11">
        <w:t>workplace procedures and regulatory requirements for:</w:t>
      </w:r>
    </w:p>
    <w:p w:rsidR="00000000" w:rsidRPr="001A2E11" w:rsidP="001A2E11">
      <w:pPr>
        <w:pStyle w:val="ListBullet2"/>
      </w:pPr>
      <w:r w:rsidRPr="001A2E11">
        <w:t>post-mortem inspections of wild game</w:t>
      </w:r>
    </w:p>
    <w:p w:rsidR="00000000" w:rsidRPr="001A2E11" w:rsidP="001A2E11">
      <w:pPr>
        <w:pStyle w:val="ListBullet2"/>
      </w:pPr>
      <w:r w:rsidRPr="001A2E11">
        <w:t>hygiene and sanitation</w:t>
      </w:r>
    </w:p>
    <w:p w:rsidR="00000000" w:rsidRPr="001A2E11" w:rsidP="001A2E11">
      <w:pPr>
        <w:pStyle w:val="ListBullet2"/>
      </w:pPr>
      <w:r w:rsidRPr="001A2E11">
        <w:t>retaining carcases</w:t>
      </w:r>
    </w:p>
    <w:p w:rsidR="00000000" w:rsidRPr="001A2E11" w:rsidP="001A2E11">
      <w:pPr>
        <w:pStyle w:val="ListBullet2"/>
      </w:pPr>
      <w:r w:rsidRPr="001A2E11">
        <w:t>identifying, collecting and submitting specimens</w:t>
      </w:r>
    </w:p>
    <w:p w:rsidR="00000000" w:rsidRPr="001A2E11" w:rsidP="001A2E11">
      <w:pPr>
        <w:pStyle w:val="ListBullet2"/>
      </w:pPr>
      <w:r w:rsidRPr="001A2E11">
        <w:t>disposal of condemned carcase</w:t>
      </w:r>
    </w:p>
    <w:p w:rsidR="00000000" w:rsidRPr="001A2E11" w:rsidP="001A2E11">
      <w:pPr>
        <w:pStyle w:val="ListBullet2"/>
      </w:pPr>
      <w:r w:rsidRPr="001A2E11">
        <w:t>reporting on post-mortem</w:t>
      </w:r>
    </w:p>
    <w:p w:rsidR="00000000" w:rsidRPr="001A2E11" w:rsidP="001A2E11">
      <w:pPr>
        <w:pStyle w:val="ListBullet"/>
      </w:pPr>
      <w:r w:rsidRPr="001A2E11">
        <w:t>the relevant registration processes and procedures for meat inspectors at their specific plant</w:t>
      </w:r>
    </w:p>
    <w:p w:rsidR="00000000" w:rsidRPr="001A2E11" w:rsidP="001A2E11">
      <w:pPr>
        <w:pStyle w:val="ListBullet"/>
      </w:pPr>
      <w:r w:rsidRPr="001A2E11">
        <w:t>workplace health and safety  requirements, including the correct use of personal protective equipment (PPE)</w:t>
      </w:r>
    </w:p>
    <w:p w:rsidR="00000000" w:rsidRPr="001A2E11" w:rsidP="001A2E11">
      <w:pPr>
        <w:pStyle w:val="ListBullet"/>
      </w:pPr>
      <w:r w:rsidRPr="001A2E11">
        <w:t>workplace hazards.</w:t>
      </w:r>
    </w:p>
    <w:p w:rsidR="00000000" w:rsidRPr="001A2E11" w:rsidP="001A2E11">
      <w:pPr>
        <w:pStyle w:val="AllowPageBreak"/>
      </w:pPr>
    </w:p>
    <w:p w:rsidR="00000000" w:rsidRPr="001A2E11" w:rsidP="001A2E11">
      <w:pPr>
        <w:pStyle w:val="Heading1"/>
      </w:pPr>
      <w:bookmarkStart w:id="4" w:name="O_1266215"/>
      <w:bookmarkEnd w:id="4"/>
      <w:r w:rsidRPr="001A2E11">
        <w:t>Assessment Cond</w:t>
      </w:r>
      <w:r w:rsidRPr="001A2E11">
        <w:t>itions</w:t>
      </w:r>
    </w:p>
    <w:p w:rsidR="00000000" w:rsidRPr="001A2E11" w:rsidP="001369DC">
      <w:pPr>
        <w:pStyle w:val="BodyText"/>
      </w:pPr>
      <w:r w:rsidRPr="001A2E11">
        <w:t>Assessment of the skills in this unit of competency must take place under the following conditions:</w:t>
      </w:r>
    </w:p>
    <w:p w:rsidR="00000000" w:rsidRPr="001A2E11" w:rsidP="001A2E11">
      <w:pPr>
        <w:pStyle w:val="ListBullet"/>
      </w:pPr>
      <w:r w:rsidRPr="001A2E11">
        <w:t>physical conditions: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skills must be demonstrated in a wild game processing establishment</w:t>
      </w:r>
    </w:p>
    <w:p w:rsidR="00000000" w:rsidRPr="001A2E11" w:rsidP="001A2E11">
      <w:pPr>
        <w:pStyle w:val="ListBullet"/>
      </w:pPr>
      <w:r w:rsidRPr="001A2E11">
        <w:t>resources, equipment and materials: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wild game carcases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sampling equipment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 xml:space="preserve">workplace diary or format to record post-mortem hours (including the number of carcases inspected and conditions detected) to be verified by a suitably qualified supervisor </w:t>
      </w:r>
    </w:p>
    <w:p w:rsidR="00000000" w:rsidRPr="001A2E11" w:rsidP="001A2E11">
      <w:pPr>
        <w:pStyle w:val="ListBullet"/>
      </w:pPr>
      <w:r w:rsidRPr="001A2E11">
        <w:t>specifications: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workplace standard operating procedures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relev</w:t>
      </w:r>
      <w:r w:rsidRPr="001A2E11">
        <w:rPr>
          <w:rStyle w:val="Emphasis"/>
        </w:rPr>
        <w:t>ant Australian Standards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regulatory requirements for site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PPE</w:t>
      </w:r>
    </w:p>
    <w:p w:rsidR="00000000" w:rsidRPr="001A2E11" w:rsidP="001A2E11">
      <w:pPr>
        <w:pStyle w:val="ListBullet"/>
      </w:pPr>
      <w:r w:rsidRPr="001A2E11">
        <w:t>relationships: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under the supervision of a meat inspector or a suitably qualified supervisor</w:t>
      </w:r>
    </w:p>
    <w:p w:rsidR="00000000" w:rsidRPr="001A2E11" w:rsidP="001A2E11">
      <w:pPr>
        <w:pStyle w:val="ListBullet"/>
      </w:pPr>
      <w:r w:rsidRPr="001A2E11">
        <w:t>timeframes:</w:t>
      </w:r>
    </w:p>
    <w:p w:rsidR="00000000" w:rsidRPr="001A2E11" w:rsidP="001A2E11">
      <w:pPr>
        <w:pStyle w:val="ListBullet2"/>
      </w:pPr>
      <w:r w:rsidRPr="001A2E11">
        <w:rPr>
          <w:rStyle w:val="Emphasis"/>
        </w:rPr>
        <w:t>post-mortem inspections must be performed at production speed.</w:t>
      </w:r>
    </w:p>
    <w:p w:rsidR="00000000" w:rsidRPr="001A2E11" w:rsidP="001369DC">
      <w:pPr>
        <w:pStyle w:val="BodyText"/>
      </w:pPr>
      <w:r w:rsidRPr="001A2E11">
        <w:t>Assessment for this uni</w:t>
      </w:r>
      <w:r w:rsidRPr="001A2E11">
        <w:t>t must include at least three forms of evidence.</w:t>
      </w:r>
    </w:p>
    <w:p w:rsidR="00000000" w:rsidRPr="001A2E11" w:rsidP="001369DC">
      <w:pPr>
        <w:pStyle w:val="BodyText"/>
      </w:pPr>
      <w:r w:rsidRPr="001A2E11">
        <w:t>Assessors of this unit must satisfy the requirements for assessors in applicable vocational education and training legislation, frameworks and/or standards.</w:t>
      </w:r>
    </w:p>
    <w:p w:rsidR="00000000" w:rsidRPr="001A2E11" w:rsidP="001369DC">
      <w:pPr>
        <w:pStyle w:val="BodyText"/>
      </w:pPr>
      <w:r w:rsidRPr="001A2E11">
        <w:t>A suitably qualified su</w:t>
      </w:r>
      <w:r w:rsidRPr="001A2E11">
        <w:t>pervisor must hold this unit, AMPMSY407 Perform post-mortem inspection – Wild game, or have equivalent and current skills and knowledge.</w:t>
      </w:r>
    </w:p>
    <w:p w:rsidR="00000000" w:rsidRPr="001A2E11" w:rsidP="001A2E11">
      <w:pPr>
        <w:pStyle w:val="BodyTextBold"/>
      </w:pPr>
      <w:r w:rsidRPr="001A2E11">
        <w:t>Mandatory workplace requirements</w:t>
      </w:r>
    </w:p>
    <w:p w:rsidR="00000000" w:rsidRPr="001A2E11" w:rsidP="001369DC">
      <w:pPr>
        <w:pStyle w:val="BodyText"/>
      </w:pPr>
      <w:r w:rsidRPr="001A2E11">
        <w:t xml:space="preserve">Mandatory workplace requirements are shown in </w:t>
      </w:r>
      <w:r w:rsidRPr="001A2E11">
        <w:rPr>
          <w:rStyle w:val="Emphasis"/>
        </w:rPr>
        <w:t>italic</w:t>
      </w:r>
      <w:r w:rsidRPr="001A2E11">
        <w:t xml:space="preserve"> text. Refer to the Companion Vol</w:t>
      </w:r>
      <w:r w:rsidRPr="001A2E11">
        <w:t>ume Implementation Guide for further information.</w:t>
      </w:r>
    </w:p>
    <w:p w:rsidR="00000000" w:rsidRPr="001A2E11" w:rsidP="001A2E11">
      <w:pPr>
        <w:pStyle w:val="Heading1"/>
      </w:pPr>
      <w:bookmarkStart w:id="5" w:name="O_1266218"/>
      <w:bookmarkEnd w:id="5"/>
      <w:r w:rsidRPr="001A2E11">
        <w:t>Links</w:t>
      </w:r>
    </w:p>
    <w:p w:rsidR="00000000" w:rsidRPr="001A2E11" w:rsidP="001369DC">
      <w:pPr>
        <w:pStyle w:val="BodyText"/>
      </w:pPr>
      <w:r w:rsidRPr="001A2E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220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A2E11" w:rsidP="001A2E11"/>
    <w:sectPr w:rsidSect="001A2E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1" w:rsidRPr="001369DC" w:rsidP="00136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DC" w:rsidP="001A2E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69DC" w:rsidP="001A2E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69DC" w:rsidP="001A2E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E11" w:rsidRPr="001369DC" w:rsidP="00136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E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9DC" w:rsidRPr="002D2AF8" w:rsidP="001A2E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AMPMSY407 Perform post-mortem inspection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369DC" w:rsidP="001A2E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6A8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18F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166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E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E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E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E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E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E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E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E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E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E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E11"/>
  </w:style>
  <w:style w:type="character" w:customStyle="1" w:styleId="Heading1Char">
    <w:name w:val="Heading 1 Char"/>
    <w:basedOn w:val="DefaultParagraphFont"/>
    <w:link w:val="Heading1"/>
    <w:rsid w:val="001A2E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E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E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E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E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2E11"/>
    <w:rPr>
      <w:i/>
    </w:rPr>
  </w:style>
  <w:style w:type="paragraph" w:customStyle="1" w:styleId="SuperHeading">
    <w:name w:val="SuperHeading"/>
    <w:basedOn w:val="Normal"/>
    <w:rsid w:val="001A2E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E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2E11"/>
    <w:rPr>
      <w:b/>
    </w:rPr>
  </w:style>
  <w:style w:type="character" w:customStyle="1" w:styleId="Heading2Char">
    <w:name w:val="Heading 2 Char"/>
    <w:basedOn w:val="DefaultParagraphFont"/>
    <w:link w:val="Heading2"/>
    <w:rsid w:val="001A2E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E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E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E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E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E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E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E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E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E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E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E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E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E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E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E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E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E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E11"/>
    <w:rPr>
      <w:b/>
      <w:spacing w:val="0"/>
    </w:rPr>
  </w:style>
  <w:style w:type="paragraph" w:customStyle="1" w:styleId="SuperTitle">
    <w:name w:val="SuperTitle"/>
    <w:basedOn w:val="Title"/>
    <w:rsid w:val="001A2E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E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E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E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E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E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E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E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E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E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E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E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E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E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E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E11"/>
  </w:style>
  <w:style w:type="paragraph" w:styleId="TableofFigures">
    <w:name w:val="table of figures"/>
    <w:basedOn w:val="Normal"/>
    <w:next w:val="Normal"/>
    <w:semiHidden/>
    <w:rsid w:val="001A2E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E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E11"/>
    <w:rPr>
      <w:rFonts w:ascii="Wingdings" w:hAnsi="Wingdings"/>
    </w:rPr>
  </w:style>
  <w:style w:type="paragraph" w:customStyle="1" w:styleId="TableHeading">
    <w:name w:val="Table Heading"/>
    <w:basedOn w:val="HeadingBase"/>
    <w:rsid w:val="001A2E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E11"/>
    <w:rPr>
      <w:color w:val="0033CC"/>
      <w:u w:val="none"/>
    </w:rPr>
  </w:style>
  <w:style w:type="paragraph" w:customStyle="1" w:styleId="BodyTextRight">
    <w:name w:val="Body Text Right"/>
    <w:basedOn w:val="BodyText"/>
    <w:rsid w:val="001A2E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E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E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E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E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E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E11"/>
    <w:rPr>
      <w:sz w:val="32"/>
    </w:rPr>
  </w:style>
  <w:style w:type="paragraph" w:customStyle="1" w:styleId="HeadingProcedure">
    <w:name w:val="Heading Procedure"/>
    <w:basedOn w:val="HeadingBase"/>
    <w:next w:val="Normal"/>
    <w:rsid w:val="001A2E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E11"/>
    <w:pPr>
      <w:spacing w:before="60" w:after="60"/>
    </w:pPr>
  </w:style>
  <w:style w:type="paragraph" w:styleId="ListContinue">
    <w:name w:val="List Continue"/>
    <w:basedOn w:val="List"/>
    <w:rsid w:val="001A2E11"/>
    <w:pPr>
      <w:ind w:firstLine="0"/>
    </w:pPr>
  </w:style>
  <w:style w:type="paragraph" w:customStyle="1" w:styleId="ListNote">
    <w:name w:val="List Note"/>
    <w:basedOn w:val="List"/>
    <w:rsid w:val="001A2E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E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E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E11"/>
    <w:rPr>
      <w:rFonts w:ascii="Courier New" w:hAnsi="Courier New"/>
    </w:rPr>
  </w:style>
  <w:style w:type="paragraph" w:customStyle="1" w:styleId="NoteBullet">
    <w:name w:val="Note Bullet"/>
    <w:basedOn w:val="Note"/>
    <w:rsid w:val="001A2E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E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E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E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E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E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E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E11"/>
    <w:rPr>
      <w:b/>
      <w:smallCaps/>
    </w:rPr>
  </w:style>
  <w:style w:type="paragraph" w:customStyle="1" w:styleId="TableListNumber">
    <w:name w:val="Table List Number"/>
    <w:basedOn w:val="ListNumber"/>
    <w:rsid w:val="001A2E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E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E11"/>
    <w:pPr>
      <w:numPr>
        <w:numId w:val="9"/>
      </w:numPr>
    </w:pPr>
  </w:style>
  <w:style w:type="paragraph" w:customStyle="1" w:styleId="ListAlpha2">
    <w:name w:val="List Alpha 2"/>
    <w:basedOn w:val="List2"/>
    <w:rsid w:val="001A2E11"/>
    <w:pPr>
      <w:numPr>
        <w:numId w:val="8"/>
      </w:numPr>
    </w:pPr>
  </w:style>
  <w:style w:type="paragraph" w:styleId="List2">
    <w:name w:val="List 2"/>
    <w:basedOn w:val="BodyText"/>
    <w:rsid w:val="001A2E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E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E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E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E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E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E11"/>
    <w:pPr>
      <w:numPr>
        <w:numId w:val="4"/>
      </w:numPr>
    </w:pPr>
  </w:style>
  <w:style w:type="paragraph" w:styleId="ListContinue2">
    <w:name w:val="List Continue 2"/>
    <w:basedOn w:val="List2"/>
    <w:rsid w:val="001A2E11"/>
    <w:pPr>
      <w:ind w:firstLine="0"/>
    </w:pPr>
  </w:style>
  <w:style w:type="paragraph" w:styleId="ListContinue3">
    <w:name w:val="List Continue 3"/>
    <w:basedOn w:val="List3"/>
    <w:rsid w:val="001A2E11"/>
    <w:pPr>
      <w:ind w:left="1021" w:firstLine="0"/>
    </w:pPr>
  </w:style>
  <w:style w:type="paragraph" w:styleId="ListContinue4">
    <w:name w:val="List Continue 4"/>
    <w:basedOn w:val="List4"/>
    <w:rsid w:val="001A2E11"/>
    <w:pPr>
      <w:ind w:firstLine="0"/>
    </w:pPr>
  </w:style>
  <w:style w:type="paragraph" w:styleId="ListContinue5">
    <w:name w:val="List Continue 5"/>
    <w:basedOn w:val="List5"/>
    <w:rsid w:val="001A2E11"/>
    <w:pPr>
      <w:ind w:firstLine="0"/>
    </w:pPr>
  </w:style>
  <w:style w:type="paragraph" w:styleId="ListNumber3">
    <w:name w:val="List Number 3"/>
    <w:basedOn w:val="List3"/>
    <w:rsid w:val="001A2E11"/>
    <w:pPr>
      <w:numPr>
        <w:numId w:val="5"/>
      </w:numPr>
    </w:pPr>
  </w:style>
  <w:style w:type="paragraph" w:styleId="ListNumber4">
    <w:name w:val="List Number 4"/>
    <w:basedOn w:val="List4"/>
    <w:rsid w:val="001A2E11"/>
    <w:pPr>
      <w:numPr>
        <w:numId w:val="6"/>
      </w:numPr>
    </w:pPr>
  </w:style>
  <w:style w:type="paragraph" w:styleId="ListNumber5">
    <w:name w:val="List Number 5"/>
    <w:basedOn w:val="List5"/>
    <w:rsid w:val="001A2E11"/>
    <w:pPr>
      <w:numPr>
        <w:numId w:val="7"/>
      </w:numPr>
    </w:pPr>
  </w:style>
  <w:style w:type="paragraph" w:styleId="BlockText">
    <w:name w:val="Block Text"/>
    <w:basedOn w:val="Normal"/>
    <w:rsid w:val="001A2E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E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E11"/>
    <w:rPr>
      <w:sz w:val="16"/>
      <w:vertAlign w:val="superscript"/>
    </w:rPr>
  </w:style>
  <w:style w:type="character" w:customStyle="1" w:styleId="Symbols">
    <w:name w:val="Symbols"/>
    <w:basedOn w:val="DefaultParagraphFont"/>
    <w:rsid w:val="001A2E11"/>
    <w:rPr>
      <w:rFonts w:ascii="Symbol" w:hAnsi="Symbol"/>
    </w:rPr>
  </w:style>
  <w:style w:type="character" w:customStyle="1" w:styleId="MenuOptions">
    <w:name w:val="Menu Options"/>
    <w:basedOn w:val="DefaultParagraphFont"/>
    <w:rsid w:val="001A2E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E11"/>
    <w:rPr>
      <w:b/>
    </w:rPr>
  </w:style>
  <w:style w:type="character" w:customStyle="1" w:styleId="Underlined">
    <w:name w:val="Underlined"/>
    <w:basedOn w:val="DefaultParagraphFont"/>
    <w:rsid w:val="001A2E11"/>
    <w:rPr>
      <w:u w:val="single"/>
    </w:rPr>
  </w:style>
  <w:style w:type="paragraph" w:customStyle="1" w:styleId="TableBodyTextRight">
    <w:name w:val="Table Body Text Right"/>
    <w:basedOn w:val="TableBodyText"/>
    <w:rsid w:val="001A2E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E11"/>
    <w:rPr>
      <w:sz w:val="18"/>
    </w:rPr>
  </w:style>
  <w:style w:type="paragraph" w:customStyle="1" w:styleId="BodySmallRight">
    <w:name w:val="Body Small Right"/>
    <w:basedOn w:val="BodyTextRight"/>
    <w:rsid w:val="001A2E11"/>
    <w:rPr>
      <w:sz w:val="18"/>
      <w:szCs w:val="18"/>
    </w:rPr>
  </w:style>
  <w:style w:type="paragraph" w:customStyle="1" w:styleId="MarginEdition">
    <w:name w:val="Margin Edition"/>
    <w:basedOn w:val="MarginNote"/>
    <w:rsid w:val="001A2E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E11"/>
    <w:rPr>
      <w:sz w:val="2"/>
      <w:szCs w:val="2"/>
    </w:rPr>
  </w:style>
  <w:style w:type="character" w:customStyle="1" w:styleId="Small">
    <w:name w:val="Small"/>
    <w:basedOn w:val="DefaultParagraphFont"/>
    <w:rsid w:val="001A2E11"/>
    <w:rPr>
      <w:sz w:val="16"/>
    </w:rPr>
  </w:style>
  <w:style w:type="paragraph" w:customStyle="1" w:styleId="WideTable">
    <w:name w:val="Wide Table"/>
    <w:basedOn w:val="Normal"/>
    <w:rsid w:val="001A2E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E11"/>
  </w:style>
  <w:style w:type="paragraph" w:styleId="Quote">
    <w:name w:val="Quote"/>
    <w:basedOn w:val="Heading1"/>
    <w:link w:val="QuoteChar"/>
    <w:qFormat/>
    <w:rsid w:val="001A2E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E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E11"/>
    <w:pPr>
      <w:pageBreakBefore/>
    </w:pPr>
  </w:style>
  <w:style w:type="paragraph" w:customStyle="1" w:styleId="Border">
    <w:name w:val="Border"/>
    <w:basedOn w:val="Normal"/>
    <w:qFormat/>
    <w:rsid w:val="001A2E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E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E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E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E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E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E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E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E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E11"/>
    <w:rPr>
      <w:u w:val="single"/>
    </w:rPr>
  </w:style>
  <w:style w:type="character" w:customStyle="1" w:styleId="BoldandItalics">
    <w:name w:val="Bold and Italics"/>
    <w:qFormat/>
    <w:rsid w:val="001A2E11"/>
    <w:rPr>
      <w:b/>
      <w:i/>
      <w:u w:val="none"/>
    </w:rPr>
  </w:style>
  <w:style w:type="paragraph" w:styleId="BalloonText">
    <w:name w:val="Balloon Text"/>
    <w:basedOn w:val="Normal"/>
    <w:link w:val="BalloonTextChar"/>
    <w:rsid w:val="001A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E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E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E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E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E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E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6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3846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AMPMSY407 Perform post-mortem inspection -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