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813" w:rsidP="00DC0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AMPMSY303 Conduct ante-mortem inspection and make disposition</w:t>
      </w:r>
      <w:r>
        <w:fldChar w:fldCharType="end"/>
      </w:r>
    </w:p>
    <w:p w:rsidR="00DC0813" w:rsidP="00DC0813">
      <w:pPr>
        <w:pStyle w:val="Version"/>
        <w:sectPr w:rsidSect="00AC5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476" w:rsidP="00AC5476">
      <w:pPr>
        <w:pStyle w:val="SuperHeading"/>
      </w:pPr>
      <w:r w:rsidRPr="00AC5476">
        <w:t>AMPMSY303 Conduct ante-mortem inspection and make disposition</w:t>
      </w:r>
    </w:p>
    <w:p w:rsidR="00000000" w:rsidRPr="00AC5476" w:rsidP="00AC5476">
      <w:pPr>
        <w:pStyle w:val="Heading1"/>
      </w:pPr>
      <w:bookmarkStart w:id="1" w:name="O_1265910"/>
      <w:bookmarkEnd w:id="1"/>
      <w:r w:rsidRPr="00AC54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5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Bold"/>
              <w:rPr>
                <w:lang w:val="en-NZ"/>
              </w:rPr>
            </w:pPr>
            <w:r w:rsidRPr="00AC547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Bold"/>
              <w:rPr>
                <w:lang w:val="en-NZ"/>
              </w:rPr>
            </w:pPr>
            <w:r w:rsidRPr="00AC5476">
              <w:t>Comments</w:t>
            </w:r>
          </w:p>
        </w:tc>
      </w:tr>
      <w:tr w:rsidTr="00AC5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76" w:rsidP="00AC5476">
            <w:pPr>
              <w:pStyle w:val="BodyText"/>
            </w:pPr>
            <w:r w:rsidRPr="00AC5476">
              <w:t>This version released with Australian Meat Processing Training Package Version 8.0.</w:t>
            </w:r>
          </w:p>
        </w:tc>
      </w:tr>
    </w:tbl>
    <w:p w:rsidR="00000000" w:rsidRPr="00AC5476" w:rsidP="00AC5476">
      <w:pPr>
        <w:pStyle w:val="BodyText"/>
      </w:pPr>
    </w:p>
    <w:p w:rsidR="00000000" w:rsidRPr="00AC5476" w:rsidP="00AC5476">
      <w:pPr>
        <w:pStyle w:val="AllowPageBreak"/>
      </w:pPr>
    </w:p>
    <w:p w:rsidR="00000000" w:rsidRPr="00AC5476" w:rsidP="00AC5476">
      <w:pPr>
        <w:pStyle w:val="Heading1"/>
      </w:pPr>
      <w:bookmarkStart w:id="2" w:name="O_1265911"/>
      <w:bookmarkEnd w:id="2"/>
      <w:r w:rsidRPr="00AC5476">
        <w:t>Application</w:t>
      </w:r>
    </w:p>
    <w:p w:rsidR="00000000" w:rsidRPr="00AC5476" w:rsidP="00DC0813">
      <w:pPr>
        <w:pStyle w:val="BodyText"/>
      </w:pPr>
      <w:r w:rsidRPr="00AC5476">
        <w:t xml:space="preserve">This unit describes the skills and knowledge required to detect abnormalities and diseases in at least one of the major food animal species (ovine, bovine or porcine) prior to slaughter. </w:t>
      </w:r>
    </w:p>
    <w:p w:rsidR="00000000" w:rsidRPr="00AC5476" w:rsidP="00DC0813">
      <w:pPr>
        <w:pStyle w:val="BodyText"/>
      </w:pPr>
      <w:r w:rsidRPr="00AC5476">
        <w:t>This unit applies to individuals who carry out work as a meat inspec</w:t>
      </w:r>
      <w:r w:rsidRPr="00AC5476">
        <w:t>tor or a meat safety officer in facilities where animals are processed for food for human or pet consumption according to the relevant Australian Standard.</w:t>
      </w:r>
    </w:p>
    <w:p w:rsidR="00000000" w:rsidRPr="00AC5476" w:rsidP="00DC0813">
      <w:pPr>
        <w:pStyle w:val="BodyText"/>
      </w:pPr>
      <w:r w:rsidRPr="00AC5476">
        <w:t>All work must be carried out to comply with workplace and departmental procedures, according to stat</w:t>
      </w:r>
      <w:r w:rsidRPr="00AC5476">
        <w:t>e/territory health and safety and animal welfare regulations, legislation and standards that apply to the workplace.</w:t>
      </w:r>
    </w:p>
    <w:p w:rsidR="00000000" w:rsidRPr="00AC5476" w:rsidP="00DC0813">
      <w:pPr>
        <w:pStyle w:val="BodyText"/>
      </w:pPr>
      <w:r w:rsidRPr="00AC5476">
        <w:t>Individuals who work as meat inspectors must comply with the requirements of local/state/territory authorities, and where applicable the Au</w:t>
      </w:r>
      <w:r w:rsidRPr="00AC5476">
        <w:t>stralian Government export Authority. Users must check with the relevant regulatory authority before delivery.</w:t>
      </w:r>
    </w:p>
    <w:p w:rsidR="00000000" w:rsidRPr="00AC5476" w:rsidP="00DC0813">
      <w:pPr>
        <w:pStyle w:val="BodyText"/>
      </w:pPr>
      <w:r w:rsidRPr="00AC5476">
        <w:t>Mandatory workplace requirements apply to the assessment of this unit.</w:t>
      </w:r>
    </w:p>
    <w:p w:rsidR="00000000" w:rsidRPr="00AC5476" w:rsidP="00AC5476">
      <w:pPr>
        <w:pStyle w:val="Heading1"/>
      </w:pPr>
      <w:bookmarkStart w:id="3" w:name="O_1265912"/>
      <w:bookmarkEnd w:id="3"/>
      <w:r w:rsidRPr="00AC5476">
        <w:t>Pre-requisite Unit</w:t>
      </w:r>
    </w:p>
    <w:p w:rsidR="00000000" w:rsidRPr="00AC5476" w:rsidP="00DC0813">
      <w:pPr>
        <w:pStyle w:val="BodyText"/>
      </w:pPr>
      <w:r w:rsidRPr="00AC5476">
        <w:t>AMPLSK301 Handle animals humanely wh</w:t>
      </w:r>
      <w:r w:rsidRPr="00AC5476">
        <w:t>ile conducting ante-mortem inspection</w:t>
      </w:r>
    </w:p>
    <w:p w:rsidR="00000000" w:rsidRPr="00AC5476" w:rsidP="00AC5476">
      <w:pPr>
        <w:pStyle w:val="Heading1"/>
      </w:pPr>
      <w:bookmarkStart w:id="4" w:name="O_1265914"/>
      <w:bookmarkEnd w:id="4"/>
      <w:r w:rsidRPr="00AC5476">
        <w:t>Unit Sector</w:t>
      </w:r>
    </w:p>
    <w:p w:rsidR="00000000" w:rsidRPr="00AC5476" w:rsidP="00DC0813">
      <w:pPr>
        <w:pStyle w:val="BodyText"/>
      </w:pPr>
      <w:r w:rsidRPr="00AC5476">
        <w:t>Meat Safety (MSY)</w:t>
      </w:r>
    </w:p>
    <w:p w:rsidR="00000000" w:rsidRPr="00AC5476" w:rsidP="00AC5476">
      <w:pPr>
        <w:pStyle w:val="Heading1"/>
      </w:pPr>
      <w:bookmarkStart w:id="5" w:name="O_1265915"/>
      <w:bookmarkEnd w:id="5"/>
      <w:r w:rsidRPr="00AC54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0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Bold"/>
              <w:rPr>
                <w:lang w:val="en-NZ"/>
              </w:rPr>
            </w:pPr>
            <w:r w:rsidRPr="00AC547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Bold"/>
              <w:rPr>
                <w:lang w:val="en-NZ"/>
              </w:rPr>
            </w:pPr>
            <w:r w:rsidRPr="00AC5476">
              <w:t>Performance Criteria</w:t>
            </w:r>
          </w:p>
        </w:tc>
      </w:tr>
      <w:tr w:rsidTr="00DC0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76" w:rsidP="00AC5476">
            <w:pPr>
              <w:pStyle w:val="BodyText"/>
            </w:pPr>
            <w:r w:rsidRPr="00AC54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0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1. Identify types of stock and market requirements of food animals commonly slaughtered for meat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76" w:rsidP="00AC5476">
            <w:pPr>
              <w:pStyle w:val="BodyText"/>
            </w:pPr>
            <w:r w:rsidRPr="00AC5476">
              <w:t>1.1 Identify major breeds of commonly slaughtered domestic ani</w:t>
            </w:r>
            <w:r w:rsidRPr="00AC5476">
              <w:t>mals</w:t>
            </w:r>
          </w:p>
          <w:p w:rsidR="00000000" w:rsidRPr="00AC5476" w:rsidP="00AC5476">
            <w:pPr>
              <w:pStyle w:val="BodyText"/>
            </w:pPr>
            <w:r w:rsidRPr="00AC5476">
              <w:t>1.2 Identify distinguishing features of major breeds</w:t>
            </w:r>
          </w:p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1.3 Identify market requirements of commonly slaughtered domestic animals</w:t>
            </w:r>
          </w:p>
        </w:tc>
      </w:tr>
      <w:tr w:rsidTr="00DC0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2. Prepare for 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76" w:rsidP="00AC5476">
            <w:pPr>
              <w:pStyle w:val="BodyText"/>
            </w:pPr>
            <w:r w:rsidRPr="00AC5476">
              <w:t>2.1 Identify the purpose of the ante-mortem inspection</w:t>
            </w:r>
          </w:p>
          <w:p w:rsidR="00000000" w:rsidRPr="00AC5476" w:rsidP="00AC5476">
            <w:pPr>
              <w:pStyle w:val="BodyText"/>
            </w:pPr>
            <w:r w:rsidRPr="00AC5476">
              <w:t>2.2 Identify regulatory requirements associated with ante-mortem inspection</w:t>
            </w:r>
          </w:p>
          <w:p w:rsidR="00000000" w:rsidRPr="00AC5476" w:rsidP="00AC5476">
            <w:pPr>
              <w:pStyle w:val="BodyText"/>
            </w:pPr>
            <w:r w:rsidRPr="00AC5476">
              <w:t>2.3 Identify workplace health and safety  hazards associated with ante-mortem inspection, and control risks, including using personal protective equipment (PPE)</w:t>
            </w:r>
          </w:p>
          <w:p w:rsidR="00000000" w:rsidRPr="00AC5476" w:rsidP="00AC5476">
            <w:pPr>
              <w:pStyle w:val="BodyText"/>
            </w:pPr>
            <w:r w:rsidRPr="00AC5476">
              <w:t>2.4 Identify proced</w:t>
            </w:r>
            <w:r w:rsidRPr="00AC5476">
              <w:t>ures and principles for humane handling of animals</w:t>
            </w:r>
          </w:p>
          <w:p w:rsidR="00000000" w:rsidRPr="00AC5476" w:rsidP="00AC5476">
            <w:pPr>
              <w:pStyle w:val="BodyText"/>
            </w:pPr>
            <w:r w:rsidRPr="00AC5476">
              <w:t>2.5 Identify quality assurance requirements for ante-mortem inspection of food animals</w:t>
            </w:r>
          </w:p>
          <w:p w:rsidR="00000000" w:rsidRPr="00AC5476" w:rsidP="00AC5476">
            <w:pPr>
              <w:pStyle w:val="BodyText"/>
            </w:pPr>
            <w:r w:rsidRPr="00AC5476">
              <w:t>2.6 Identify procedures for euthanising animal and processing it as an emergency kill</w:t>
            </w:r>
          </w:p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2.7 Identify procedures for euth</w:t>
            </w:r>
            <w:r w:rsidRPr="00AC5476">
              <w:t>anising an animal, condemning and disposing of the carcase</w:t>
            </w:r>
          </w:p>
        </w:tc>
      </w:tr>
      <w:tr w:rsidTr="00DC0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3. Conduct ante-mortem inspection on live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76" w:rsidP="00AC5476">
            <w:pPr>
              <w:pStyle w:val="BodyText"/>
            </w:pPr>
            <w:r w:rsidRPr="00AC5476">
              <w:t>3.1 Perform ante-mortem inspection on relevant species according to regulatory requirements</w:t>
            </w:r>
          </w:p>
          <w:p w:rsidR="00000000" w:rsidRPr="00AC5476" w:rsidP="00AC5476">
            <w:pPr>
              <w:pStyle w:val="BodyText"/>
            </w:pPr>
            <w:r w:rsidRPr="00AC5476">
              <w:t>3.2 Detect, identify and document signs of common cond</w:t>
            </w:r>
            <w:r w:rsidRPr="00AC5476">
              <w:t xml:space="preserve">itions responsible for abnormalities at ante-mortem </w:t>
            </w:r>
          </w:p>
          <w:p w:rsidR="00000000" w:rsidRPr="00AC5476" w:rsidP="00AC5476">
            <w:pPr>
              <w:pStyle w:val="BodyText"/>
            </w:pPr>
            <w:r w:rsidRPr="00AC5476">
              <w:t>3.3 Detect signs of common emergency or notifiable diseases</w:t>
            </w:r>
          </w:p>
          <w:p w:rsidR="00000000" w:rsidRPr="00AC5476" w:rsidP="00AC5476">
            <w:pPr>
              <w:pStyle w:val="BodyText"/>
            </w:pPr>
            <w:r w:rsidRPr="00AC5476">
              <w:t>3.4 Report any identified conditions or diseases according to regulatory and workplace requirements</w:t>
            </w:r>
          </w:p>
          <w:p w:rsidR="00000000" w:rsidRPr="00AC5476" w:rsidP="00AC5476">
            <w:pPr>
              <w:pStyle w:val="BodyText"/>
            </w:pPr>
            <w:r w:rsidRPr="00AC5476">
              <w:t>3.5 Segregate suspect animal according to r</w:t>
            </w:r>
            <w:r w:rsidRPr="00AC5476">
              <w:t>egulatory and workplace requirements</w:t>
            </w:r>
          </w:p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 xml:space="preserve">3.6 Make disposition as a result of inspection, and take appropriate action </w:t>
            </w:r>
          </w:p>
        </w:tc>
      </w:tr>
      <w:tr w:rsidTr="00DC0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4. Identify and isolate animals requiring testing for residue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76" w:rsidP="00AC5476">
            <w:pPr>
              <w:pStyle w:val="BodyText"/>
            </w:pPr>
            <w:r w:rsidRPr="00AC5476">
              <w:t>4.1 Identify reasons for residue testing of animals</w:t>
            </w:r>
          </w:p>
          <w:p w:rsidR="00000000" w:rsidRPr="00AC5476" w:rsidP="00AC5476">
            <w:pPr>
              <w:pStyle w:val="BodyText"/>
            </w:pPr>
            <w:r w:rsidRPr="00AC5476">
              <w:t>4.2 Follow procedures for i</w:t>
            </w:r>
            <w:r w:rsidRPr="00AC5476">
              <w:t>dentifying and isolating animals for testing</w:t>
            </w:r>
          </w:p>
        </w:tc>
      </w:tr>
    </w:tbl>
    <w:p w:rsidR="00000000" w:rsidRPr="00AC5476" w:rsidP="00AC5476">
      <w:pPr>
        <w:pStyle w:val="BodyText"/>
      </w:pPr>
    </w:p>
    <w:p w:rsidR="00000000" w:rsidRPr="00AC5476" w:rsidP="00AC5476">
      <w:pPr>
        <w:pStyle w:val="AllowPageBreak"/>
      </w:pPr>
    </w:p>
    <w:p w:rsidR="00000000" w:rsidRPr="00AC5476" w:rsidP="00AC5476">
      <w:pPr>
        <w:pStyle w:val="Heading1"/>
      </w:pPr>
      <w:bookmarkStart w:id="6" w:name="O_1265916"/>
      <w:bookmarkEnd w:id="6"/>
      <w:r w:rsidRPr="00AC5476">
        <w:t>Foundation Skills</w:t>
      </w:r>
    </w:p>
    <w:p w:rsidR="00000000" w:rsidRPr="00DC0813" w:rsidP="00DC0813">
      <w:pPr>
        <w:pStyle w:val="BodyText"/>
        <w:rPr>
          <w:i/>
        </w:rPr>
      </w:pPr>
      <w:r w:rsidRPr="00DC0813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DC0813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5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Bold"/>
              <w:rPr>
                <w:lang w:val="en-NZ"/>
              </w:rPr>
            </w:pPr>
            <w:r w:rsidRPr="00AC547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Bold"/>
              <w:rPr>
                <w:lang w:val="en-NZ"/>
              </w:rPr>
            </w:pPr>
            <w:r w:rsidRPr="00AC5476">
              <w:t>Description</w:t>
            </w:r>
          </w:p>
        </w:tc>
      </w:tr>
      <w:tr w:rsidTr="00AC5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ListBullet"/>
              <w:rPr>
                <w:lang w:val="en-NZ"/>
              </w:rPr>
            </w:pPr>
            <w:r w:rsidRPr="00AC5476">
              <w:t>Interpret regulatory requirements, procedures and standards</w:t>
            </w:r>
          </w:p>
        </w:tc>
      </w:tr>
      <w:tr w:rsidTr="00AC5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ListBullet"/>
              <w:rPr>
                <w:lang w:val="en-NZ"/>
              </w:rPr>
            </w:pPr>
            <w:r w:rsidRPr="00AC5476">
              <w:t xml:space="preserve">Complete ante-mortem cards and condemnation documentation </w:t>
            </w:r>
          </w:p>
        </w:tc>
      </w:tr>
      <w:tr w:rsidTr="00AC5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ListBullet"/>
              <w:rPr>
                <w:lang w:val="en-NZ"/>
              </w:rPr>
            </w:pPr>
            <w:r w:rsidRPr="00AC5476">
              <w:t>Interact effectively with those employed at slaughtering establishment</w:t>
            </w:r>
          </w:p>
        </w:tc>
      </w:tr>
      <w:tr w:rsidTr="00AC5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76" w:rsidP="00AC5476">
            <w:pPr>
              <w:pStyle w:val="ListBullet"/>
            </w:pPr>
            <w:r w:rsidRPr="00AC5476">
              <w:t>Estimate percentage of mob with conditions</w:t>
            </w:r>
          </w:p>
          <w:p w:rsidR="00000000" w:rsidRPr="00AC5476" w:rsidP="00AC5476">
            <w:pPr>
              <w:pStyle w:val="ListBullet"/>
            </w:pPr>
            <w:r w:rsidRPr="00AC5476">
              <w:t>Estimate animal numbers in pen (per m2)</w:t>
            </w:r>
          </w:p>
        </w:tc>
      </w:tr>
    </w:tbl>
    <w:p w:rsidR="00000000" w:rsidRPr="00AC5476" w:rsidP="00AC5476">
      <w:pPr>
        <w:pStyle w:val="BodyText"/>
      </w:pPr>
    </w:p>
    <w:p w:rsidR="00000000" w:rsidRPr="00AC5476" w:rsidP="00AC5476">
      <w:pPr>
        <w:pStyle w:val="AllowPageBreak"/>
      </w:pPr>
    </w:p>
    <w:p w:rsidR="00000000" w:rsidRPr="00AC5476" w:rsidP="00AC5476">
      <w:pPr>
        <w:pStyle w:val="Heading1"/>
      </w:pPr>
      <w:bookmarkStart w:id="7" w:name="O_1265918"/>
      <w:bookmarkEnd w:id="7"/>
      <w:r w:rsidRPr="00AC54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5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Bold"/>
              <w:rPr>
                <w:lang w:val="en-NZ"/>
              </w:rPr>
            </w:pPr>
            <w:r w:rsidRPr="00AC547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Bold"/>
              <w:rPr>
                <w:lang w:val="en-NZ"/>
              </w:rPr>
            </w:pPr>
            <w:r w:rsidRPr="00AC547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Bold"/>
              <w:rPr>
                <w:lang w:val="en-NZ"/>
              </w:rPr>
            </w:pPr>
            <w:r w:rsidRPr="00AC547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Bold"/>
              <w:rPr>
                <w:lang w:val="en-NZ"/>
              </w:rPr>
            </w:pPr>
            <w:r w:rsidRPr="00AC5476">
              <w:t>Equivalence status</w:t>
            </w:r>
          </w:p>
        </w:tc>
      </w:tr>
      <w:tr w:rsidTr="00AC5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AMPMSY303 Conduct ante-mortem inspection and make disposition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AMPA3069 Perform ante-mortem inspection and make disposition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76" w:rsidP="00AC5476">
            <w:pPr>
              <w:pStyle w:val="BodyText"/>
            </w:pPr>
            <w:r w:rsidRPr="00AC5476">
              <w:t>Unit code and title updated</w:t>
            </w:r>
          </w:p>
          <w:p w:rsidR="00000000" w:rsidRPr="00AC5476" w:rsidP="00AC5476">
            <w:pPr>
              <w:pStyle w:val="BodyText"/>
            </w:pPr>
            <w:r w:rsidRPr="00AC5476">
              <w:t>Performance Criteria clarified and duplicati</w:t>
            </w:r>
            <w:r w:rsidRPr="00AC5476">
              <w:t>on removed</w:t>
            </w:r>
          </w:p>
          <w:p w:rsidR="00000000" w:rsidRPr="00AC5476" w:rsidP="00AC5476">
            <w:pPr>
              <w:pStyle w:val="BodyText"/>
            </w:pPr>
            <w:r w:rsidRPr="00AC5476">
              <w:t>Foundation Skills added</w:t>
            </w:r>
          </w:p>
          <w:p w:rsidR="00000000" w:rsidRPr="00AC5476" w:rsidP="00AC5476">
            <w:pPr>
              <w:pStyle w:val="BodyText"/>
            </w:pPr>
            <w:r w:rsidRPr="00AC5476">
              <w:t>Performance Evidence, Knowledge Evidence and Assessment Conditions reworded for clarity</w:t>
            </w:r>
          </w:p>
          <w:p w:rsidR="00000000" w:rsidP="00AC5476">
            <w:pPr>
              <w:pStyle w:val="BodyText"/>
              <w:rPr>
                <w:lang w:val="en-NZ"/>
              </w:rPr>
            </w:pPr>
            <w:r w:rsidRPr="00AC5476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476" w:rsidP="00AC5476">
            <w:pPr>
              <w:pStyle w:val="BodyText"/>
            </w:pPr>
            <w:r w:rsidRPr="00AC5476">
              <w:t>Equivalent</w:t>
            </w:r>
          </w:p>
        </w:tc>
      </w:tr>
    </w:tbl>
    <w:p w:rsidR="00000000" w:rsidRPr="00AC5476" w:rsidP="00AC5476">
      <w:pPr>
        <w:pStyle w:val="BodyText"/>
      </w:pPr>
    </w:p>
    <w:p w:rsidR="00000000" w:rsidRPr="00AC5476" w:rsidP="00AC5476">
      <w:pPr>
        <w:pStyle w:val="AllowPageBreak"/>
      </w:pPr>
    </w:p>
    <w:p w:rsidR="00000000" w:rsidRPr="00AC5476" w:rsidP="00AC5476">
      <w:pPr>
        <w:pStyle w:val="Heading1"/>
      </w:pPr>
      <w:bookmarkStart w:id="8" w:name="O_1265925"/>
      <w:bookmarkEnd w:id="8"/>
      <w:r w:rsidRPr="00AC5476">
        <w:t>Links</w:t>
      </w:r>
    </w:p>
    <w:p w:rsidR="00000000" w:rsidRPr="00AC5476" w:rsidP="00DC0813">
      <w:pPr>
        <w:pStyle w:val="BodyText"/>
      </w:pPr>
      <w:r w:rsidRPr="00AC54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44D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C5476" w:rsidP="00AC5476"/>
    <w:sectPr w:rsidSect="00AC54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76" w:rsidRPr="00DC0813" w:rsidP="00DC0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13" w:rsidP="00AC5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0813" w:rsidP="00AC5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0813" w:rsidP="00AC5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476" w:rsidRPr="00DC0813" w:rsidP="00DC0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13" w:rsidRPr="002D2AF8" w:rsidP="00AC5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AMPMSY303 Conduct ante-mortem inspection and make disposition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C0813" w:rsidP="00AC5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689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0C45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476"/>
  </w:style>
  <w:style w:type="character" w:customStyle="1" w:styleId="Heading1Char">
    <w:name w:val="Heading 1 Char"/>
    <w:basedOn w:val="DefaultParagraphFont"/>
    <w:link w:val="Heading1"/>
    <w:rsid w:val="00AC5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47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C5476"/>
    <w:rPr>
      <w:i/>
    </w:rPr>
  </w:style>
  <w:style w:type="paragraph" w:customStyle="1" w:styleId="SuperHeading">
    <w:name w:val="SuperHeading"/>
    <w:basedOn w:val="Normal"/>
    <w:rsid w:val="00AC5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5476"/>
    <w:rPr>
      <w:b/>
    </w:rPr>
  </w:style>
  <w:style w:type="character" w:customStyle="1" w:styleId="Heading2Char">
    <w:name w:val="Heading 2 Char"/>
    <w:basedOn w:val="DefaultParagraphFont"/>
    <w:link w:val="Heading2"/>
    <w:rsid w:val="00AC5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5476"/>
    <w:rPr>
      <w:b/>
      <w:spacing w:val="0"/>
    </w:rPr>
  </w:style>
  <w:style w:type="paragraph" w:customStyle="1" w:styleId="SuperTitle">
    <w:name w:val="SuperTitle"/>
    <w:basedOn w:val="Title"/>
    <w:rsid w:val="00AC5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4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4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476"/>
  </w:style>
  <w:style w:type="paragraph" w:styleId="TableofFigures">
    <w:name w:val="table of figures"/>
    <w:basedOn w:val="Normal"/>
    <w:next w:val="Normal"/>
    <w:semiHidden/>
    <w:rsid w:val="00AC5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4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5476"/>
    <w:rPr>
      <w:rFonts w:ascii="Wingdings" w:hAnsi="Wingdings"/>
    </w:rPr>
  </w:style>
  <w:style w:type="paragraph" w:customStyle="1" w:styleId="TableHeading">
    <w:name w:val="Table Heading"/>
    <w:basedOn w:val="HeadingBase"/>
    <w:rsid w:val="00AC5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476"/>
    <w:rPr>
      <w:color w:val="0033CC"/>
      <w:u w:val="none"/>
    </w:rPr>
  </w:style>
  <w:style w:type="paragraph" w:customStyle="1" w:styleId="BodyTextRight">
    <w:name w:val="Body Text Right"/>
    <w:basedOn w:val="BodyText"/>
    <w:rsid w:val="00AC5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4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476"/>
    <w:rPr>
      <w:sz w:val="32"/>
    </w:rPr>
  </w:style>
  <w:style w:type="paragraph" w:customStyle="1" w:styleId="HeadingProcedure">
    <w:name w:val="Heading Procedure"/>
    <w:basedOn w:val="HeadingBase"/>
    <w:next w:val="Normal"/>
    <w:rsid w:val="00AC5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476"/>
    <w:pPr>
      <w:spacing w:before="60" w:after="60"/>
    </w:pPr>
  </w:style>
  <w:style w:type="paragraph" w:styleId="ListContinue">
    <w:name w:val="List Continue"/>
    <w:basedOn w:val="List"/>
    <w:rsid w:val="00AC5476"/>
    <w:pPr>
      <w:ind w:firstLine="0"/>
    </w:pPr>
  </w:style>
  <w:style w:type="paragraph" w:customStyle="1" w:styleId="ListNote">
    <w:name w:val="List Note"/>
    <w:basedOn w:val="List"/>
    <w:rsid w:val="00AC5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476"/>
    <w:rPr>
      <w:rFonts w:ascii="Courier New" w:hAnsi="Courier New"/>
    </w:rPr>
  </w:style>
  <w:style w:type="paragraph" w:customStyle="1" w:styleId="NoteBullet">
    <w:name w:val="Note Bullet"/>
    <w:basedOn w:val="Note"/>
    <w:rsid w:val="00AC5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4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5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476"/>
    <w:rPr>
      <w:b/>
      <w:smallCaps/>
    </w:rPr>
  </w:style>
  <w:style w:type="paragraph" w:customStyle="1" w:styleId="TableListNumber">
    <w:name w:val="Table List Number"/>
    <w:basedOn w:val="ListNumber"/>
    <w:rsid w:val="00AC5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476"/>
    <w:pPr>
      <w:numPr>
        <w:numId w:val="8"/>
      </w:numPr>
    </w:pPr>
  </w:style>
  <w:style w:type="paragraph" w:customStyle="1" w:styleId="ListAlpha2">
    <w:name w:val="List Alpha 2"/>
    <w:basedOn w:val="List2"/>
    <w:rsid w:val="00AC5476"/>
    <w:pPr>
      <w:numPr>
        <w:numId w:val="7"/>
      </w:numPr>
    </w:pPr>
  </w:style>
  <w:style w:type="paragraph" w:styleId="List2">
    <w:name w:val="List 2"/>
    <w:basedOn w:val="BodyText"/>
    <w:rsid w:val="00AC5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4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4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5476"/>
    <w:pPr>
      <w:numPr>
        <w:numId w:val="3"/>
      </w:numPr>
    </w:pPr>
  </w:style>
  <w:style w:type="paragraph" w:styleId="ListContinue2">
    <w:name w:val="List Continue 2"/>
    <w:basedOn w:val="List2"/>
    <w:rsid w:val="00AC5476"/>
    <w:pPr>
      <w:ind w:firstLine="0"/>
    </w:pPr>
  </w:style>
  <w:style w:type="paragraph" w:styleId="ListContinue3">
    <w:name w:val="List Continue 3"/>
    <w:basedOn w:val="List3"/>
    <w:rsid w:val="00AC5476"/>
    <w:pPr>
      <w:ind w:left="1021" w:firstLine="0"/>
    </w:pPr>
  </w:style>
  <w:style w:type="paragraph" w:styleId="ListContinue4">
    <w:name w:val="List Continue 4"/>
    <w:basedOn w:val="List4"/>
    <w:rsid w:val="00AC5476"/>
    <w:pPr>
      <w:ind w:firstLine="0"/>
    </w:pPr>
  </w:style>
  <w:style w:type="paragraph" w:styleId="ListContinue5">
    <w:name w:val="List Continue 5"/>
    <w:basedOn w:val="List5"/>
    <w:rsid w:val="00AC5476"/>
    <w:pPr>
      <w:ind w:firstLine="0"/>
    </w:pPr>
  </w:style>
  <w:style w:type="paragraph" w:styleId="ListNumber3">
    <w:name w:val="List Number 3"/>
    <w:basedOn w:val="List3"/>
    <w:rsid w:val="00AC5476"/>
    <w:pPr>
      <w:numPr>
        <w:numId w:val="4"/>
      </w:numPr>
    </w:pPr>
  </w:style>
  <w:style w:type="paragraph" w:styleId="ListNumber4">
    <w:name w:val="List Number 4"/>
    <w:basedOn w:val="List4"/>
    <w:rsid w:val="00AC5476"/>
    <w:pPr>
      <w:numPr>
        <w:numId w:val="5"/>
      </w:numPr>
    </w:pPr>
  </w:style>
  <w:style w:type="paragraph" w:styleId="ListNumber5">
    <w:name w:val="List Number 5"/>
    <w:basedOn w:val="List5"/>
    <w:rsid w:val="00AC5476"/>
    <w:pPr>
      <w:numPr>
        <w:numId w:val="6"/>
      </w:numPr>
    </w:pPr>
  </w:style>
  <w:style w:type="paragraph" w:styleId="BlockText">
    <w:name w:val="Block Text"/>
    <w:basedOn w:val="Normal"/>
    <w:rsid w:val="00AC5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476"/>
    <w:rPr>
      <w:sz w:val="16"/>
      <w:vertAlign w:val="superscript"/>
    </w:rPr>
  </w:style>
  <w:style w:type="character" w:customStyle="1" w:styleId="Symbols">
    <w:name w:val="Symbols"/>
    <w:basedOn w:val="DefaultParagraphFont"/>
    <w:rsid w:val="00AC5476"/>
    <w:rPr>
      <w:rFonts w:ascii="Symbol" w:hAnsi="Symbol"/>
    </w:rPr>
  </w:style>
  <w:style w:type="character" w:customStyle="1" w:styleId="MenuOptions">
    <w:name w:val="Menu Options"/>
    <w:basedOn w:val="DefaultParagraphFont"/>
    <w:rsid w:val="00AC5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476"/>
    <w:rPr>
      <w:b/>
    </w:rPr>
  </w:style>
  <w:style w:type="character" w:customStyle="1" w:styleId="Underlined">
    <w:name w:val="Underlined"/>
    <w:basedOn w:val="DefaultParagraphFont"/>
    <w:rsid w:val="00AC5476"/>
    <w:rPr>
      <w:u w:val="single"/>
    </w:rPr>
  </w:style>
  <w:style w:type="paragraph" w:customStyle="1" w:styleId="TableBodyTextRight">
    <w:name w:val="Table Body Text Right"/>
    <w:basedOn w:val="TableBodyText"/>
    <w:rsid w:val="00AC5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476"/>
    <w:rPr>
      <w:sz w:val="18"/>
    </w:rPr>
  </w:style>
  <w:style w:type="paragraph" w:customStyle="1" w:styleId="BodySmallRight">
    <w:name w:val="Body Small Right"/>
    <w:basedOn w:val="BodyTextRight"/>
    <w:rsid w:val="00AC5476"/>
    <w:rPr>
      <w:sz w:val="18"/>
      <w:szCs w:val="18"/>
    </w:rPr>
  </w:style>
  <w:style w:type="paragraph" w:customStyle="1" w:styleId="MarginEdition">
    <w:name w:val="Margin Edition"/>
    <w:basedOn w:val="MarginNote"/>
    <w:rsid w:val="00AC5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476"/>
    <w:rPr>
      <w:sz w:val="2"/>
      <w:szCs w:val="2"/>
    </w:rPr>
  </w:style>
  <w:style w:type="character" w:customStyle="1" w:styleId="Small">
    <w:name w:val="Small"/>
    <w:basedOn w:val="DefaultParagraphFont"/>
    <w:rsid w:val="00AC5476"/>
    <w:rPr>
      <w:sz w:val="16"/>
    </w:rPr>
  </w:style>
  <w:style w:type="paragraph" w:customStyle="1" w:styleId="WideTable">
    <w:name w:val="Wide Table"/>
    <w:basedOn w:val="Normal"/>
    <w:rsid w:val="00AC5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476"/>
  </w:style>
  <w:style w:type="paragraph" w:styleId="Quote">
    <w:name w:val="Quote"/>
    <w:basedOn w:val="Heading1"/>
    <w:link w:val="QuoteChar"/>
    <w:qFormat/>
    <w:rsid w:val="00AC5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476"/>
    <w:pPr>
      <w:pageBreakBefore/>
    </w:pPr>
  </w:style>
  <w:style w:type="paragraph" w:customStyle="1" w:styleId="Border">
    <w:name w:val="Border"/>
    <w:basedOn w:val="Normal"/>
    <w:qFormat/>
    <w:rsid w:val="00AC5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476"/>
    <w:rPr>
      <w:u w:val="single"/>
    </w:rPr>
  </w:style>
  <w:style w:type="character" w:customStyle="1" w:styleId="BoldandItalics">
    <w:name w:val="Bold and Italics"/>
    <w:qFormat/>
    <w:rsid w:val="00AC5476"/>
    <w:rPr>
      <w:b/>
      <w:i/>
      <w:u w:val="none"/>
    </w:rPr>
  </w:style>
  <w:style w:type="paragraph" w:styleId="BalloonText">
    <w:name w:val="Balloon Text"/>
    <w:basedOn w:val="Normal"/>
    <w:link w:val="BalloonTextChar"/>
    <w:rsid w:val="00AC5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4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0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4048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AMPMSY303 Conduct ante-mortem inspection and make disposition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