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050" w:rsidP="00574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AMPMSY303 Conduct ante-mortem inspection and make disposition</w:t>
      </w:r>
      <w:r>
        <w:fldChar w:fldCharType="end"/>
      </w:r>
    </w:p>
    <w:p w:rsidR="00574050" w:rsidP="00574050">
      <w:pPr>
        <w:pStyle w:val="Version"/>
        <w:sectPr w:rsidSect="00F26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442" w:rsidP="00F26442">
      <w:pPr>
        <w:pStyle w:val="SuperHeading"/>
      </w:pPr>
      <w:r w:rsidRPr="00F26442">
        <w:t>Assessment Requirements for AMPMSY303 Conduct ante-mortem inspection and make disposition</w:t>
      </w:r>
    </w:p>
    <w:p w:rsidR="00000000" w:rsidRPr="00F26442" w:rsidP="00F26442">
      <w:pPr>
        <w:pStyle w:val="Heading1"/>
      </w:pPr>
      <w:bookmarkStart w:id="1" w:name="O_1265920"/>
      <w:bookmarkEnd w:id="1"/>
      <w:r w:rsidRPr="00F264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6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442">
            <w:pPr>
              <w:pStyle w:val="BodyTextBold"/>
              <w:rPr>
                <w:lang w:val="en-NZ"/>
              </w:rPr>
            </w:pPr>
            <w:r w:rsidRPr="00F264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442">
            <w:pPr>
              <w:pStyle w:val="BodyTextBold"/>
              <w:rPr>
                <w:lang w:val="en-NZ"/>
              </w:rPr>
            </w:pPr>
            <w:r w:rsidRPr="00F26442">
              <w:t>Comments</w:t>
            </w:r>
          </w:p>
        </w:tc>
      </w:tr>
      <w:tr w:rsidTr="00F264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442">
            <w:pPr>
              <w:pStyle w:val="BodyText"/>
              <w:rPr>
                <w:lang w:val="en-NZ"/>
              </w:rPr>
            </w:pPr>
            <w:r w:rsidRPr="00F264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442" w:rsidP="00F26442">
            <w:pPr>
              <w:pStyle w:val="BodyText"/>
            </w:pPr>
            <w:r w:rsidRPr="00F26442">
              <w:t>This version released with Australian Meat Processing Training Package Version 8.0.</w:t>
            </w:r>
          </w:p>
        </w:tc>
      </w:tr>
    </w:tbl>
    <w:p w:rsidR="00000000" w:rsidRPr="00F26442" w:rsidP="00F26442">
      <w:pPr>
        <w:pStyle w:val="BodyText"/>
      </w:pPr>
    </w:p>
    <w:p w:rsidR="00000000" w:rsidRPr="00F26442" w:rsidP="00F26442">
      <w:pPr>
        <w:pStyle w:val="AllowPageBreak"/>
      </w:pPr>
    </w:p>
    <w:p w:rsidR="00000000" w:rsidRPr="00F26442" w:rsidP="00F26442">
      <w:pPr>
        <w:pStyle w:val="Heading1"/>
      </w:pPr>
      <w:bookmarkStart w:id="2" w:name="O_1265921"/>
      <w:bookmarkEnd w:id="2"/>
      <w:r w:rsidRPr="00F26442">
        <w:t>Performance Evidence</w:t>
      </w:r>
    </w:p>
    <w:p w:rsidR="00000000" w:rsidRPr="00F26442" w:rsidP="00574050">
      <w:pPr>
        <w:pStyle w:val="BodyText"/>
      </w:pPr>
      <w:r w:rsidRPr="00F26442">
        <w:t xml:space="preserve">An individual demonstrating competency must satisfy all of the elements and performance criteria in this unit. </w:t>
      </w:r>
    </w:p>
    <w:p w:rsidR="00000000" w:rsidRPr="00F26442" w:rsidP="00574050">
      <w:pPr>
        <w:pStyle w:val="BodyText"/>
      </w:pPr>
      <w:r w:rsidRPr="00F26442">
        <w:t>There must be evidence that the individual has conducted ante-mortem inspection of at least one major domestic foo</w:t>
      </w:r>
      <w:r w:rsidRPr="00F26442">
        <w:t>d species, including:</w:t>
      </w:r>
    </w:p>
    <w:p w:rsidR="00000000" w:rsidRPr="00F26442" w:rsidP="00F26442">
      <w:pPr>
        <w:pStyle w:val="ListBullet"/>
      </w:pPr>
      <w:r w:rsidRPr="00F26442">
        <w:t xml:space="preserve">conducted at least five ante-mortem inspections </w:t>
      </w:r>
    </w:p>
    <w:p w:rsidR="00000000" w:rsidRPr="00F26442" w:rsidP="00F26442">
      <w:pPr>
        <w:pStyle w:val="ListBullet"/>
      </w:pPr>
      <w:r w:rsidRPr="00F26442">
        <w:t>demonstrated procedures for humane handling of food animal</w:t>
      </w:r>
    </w:p>
    <w:p w:rsidR="00000000" w:rsidRPr="00F26442" w:rsidP="00F26442">
      <w:pPr>
        <w:pStyle w:val="ListBullet"/>
      </w:pPr>
      <w:r w:rsidRPr="00F26442">
        <w:t xml:space="preserve">adhered to regulatory requirements, including relevant Australian Standard </w:t>
      </w:r>
    </w:p>
    <w:p w:rsidR="00000000" w:rsidRPr="00F26442" w:rsidP="00F26442">
      <w:pPr>
        <w:pStyle w:val="ListBullet"/>
      </w:pPr>
      <w:r w:rsidRPr="00F26442">
        <w:t>made correct dispositions for the common diseases and conditions found at ante-mortem according to schedule in relevant Australian Standard.</w:t>
      </w:r>
    </w:p>
    <w:p w:rsidR="00000000" w:rsidRPr="00F26442" w:rsidP="00F26442">
      <w:pPr>
        <w:pStyle w:val="BodyTextBold"/>
      </w:pPr>
      <w:r w:rsidRPr="00F26442">
        <w:t>Mandatory workplace requirements</w:t>
      </w:r>
    </w:p>
    <w:p w:rsidR="00574050" w:rsidP="00574050">
      <w:pPr>
        <w:pStyle w:val="BodyText"/>
      </w:pPr>
      <w:r w:rsidRPr="00F26442">
        <w:t>All performance evidence specified above must be demonstrated in a slaughtering es</w:t>
      </w:r>
      <w:r w:rsidRPr="00F26442">
        <w:t>tablishment.</w:t>
      </w:r>
    </w:p>
    <w:p w:rsidR="00000000" w:rsidRPr="00F26442" w:rsidP="00F26442">
      <w:pPr>
        <w:pStyle w:val="Heading1"/>
      </w:pPr>
      <w:bookmarkStart w:id="3" w:name="O_1265922"/>
      <w:bookmarkEnd w:id="3"/>
      <w:r w:rsidRPr="00F26442">
        <w:t>Knowledge Evidence</w:t>
      </w:r>
    </w:p>
    <w:p w:rsidR="00000000" w:rsidRPr="00F26442" w:rsidP="00574050">
      <w:pPr>
        <w:pStyle w:val="BodyText"/>
      </w:pPr>
      <w:r w:rsidRPr="00F26442">
        <w:t>An individual must be able to demonstrate the knowledge required to perform the tasks outlined in the elements and performance criteria of this unit. This includes knowledge of:</w:t>
      </w:r>
    </w:p>
    <w:p w:rsidR="00000000" w:rsidRPr="00F26442" w:rsidP="00F26442">
      <w:pPr>
        <w:pStyle w:val="ListBullet"/>
      </w:pPr>
      <w:r w:rsidRPr="00F26442">
        <w:t>target market for the spe</w:t>
      </w:r>
      <w:r w:rsidRPr="00F26442">
        <w:t>cies being inspected, and purpose of ante-mortem inspections</w:t>
      </w:r>
    </w:p>
    <w:p w:rsidR="00000000" w:rsidRPr="00F26442" w:rsidP="00F26442">
      <w:pPr>
        <w:pStyle w:val="ListBullet"/>
      </w:pPr>
      <w:r w:rsidRPr="00F26442">
        <w:t>key requirements of relevant Australian Standard</w:t>
      </w:r>
    </w:p>
    <w:p w:rsidR="00000000" w:rsidRPr="00F26442" w:rsidP="00F26442">
      <w:pPr>
        <w:pStyle w:val="ListBullet"/>
      </w:pPr>
      <w:r w:rsidRPr="00F26442">
        <w:t>relevant animal identification systems that use brands, tags, tattoos and electronic identification devices</w:t>
      </w:r>
    </w:p>
    <w:p w:rsidR="00000000" w:rsidRPr="00F26442" w:rsidP="00F26442">
      <w:pPr>
        <w:pStyle w:val="ListBullet"/>
      </w:pPr>
      <w:r w:rsidRPr="00F26442">
        <w:t>appropriate steps for ante-mortem insp</w:t>
      </w:r>
      <w:r w:rsidRPr="00F26442">
        <w:t>ections according to animal types</w:t>
      </w:r>
    </w:p>
    <w:p w:rsidR="00000000" w:rsidRPr="00F26442" w:rsidP="00F26442">
      <w:pPr>
        <w:pStyle w:val="ListBullet"/>
      </w:pPr>
      <w:r w:rsidRPr="00F26442">
        <w:t>common abnormalities, diseases and conditions that affect the target species, and their symptoms</w:t>
      </w:r>
    </w:p>
    <w:p w:rsidR="00000000" w:rsidRPr="00F26442" w:rsidP="00F26442">
      <w:pPr>
        <w:pStyle w:val="ListBullet"/>
      </w:pPr>
      <w:r w:rsidRPr="00F26442">
        <w:t xml:space="preserve">common ante-mortem dispositions </w:t>
      </w:r>
    </w:p>
    <w:p w:rsidR="00000000" w:rsidRPr="00F26442" w:rsidP="00F26442">
      <w:pPr>
        <w:pStyle w:val="ListBullet"/>
      </w:pPr>
      <w:r w:rsidRPr="00F26442">
        <w:t>purpose and process for residue testing</w:t>
      </w:r>
    </w:p>
    <w:p w:rsidR="00000000" w:rsidRPr="00F26442" w:rsidP="00F26442">
      <w:pPr>
        <w:pStyle w:val="ListBullet"/>
      </w:pPr>
      <w:r w:rsidRPr="00F26442">
        <w:t>notifiable diseases that affect the target species w</w:t>
      </w:r>
      <w:r w:rsidRPr="00F26442">
        <w:t>ithin jurisdiction</w:t>
      </w:r>
    </w:p>
    <w:p w:rsidR="00000000" w:rsidRPr="00F26442" w:rsidP="00F26442">
      <w:pPr>
        <w:pStyle w:val="ListBullet"/>
      </w:pPr>
      <w:r w:rsidRPr="00F26442">
        <w:t>workplace health and safety hazards and workplace requirements, including correct use of personal protective equipment (PPE)</w:t>
      </w:r>
    </w:p>
    <w:p w:rsidR="00000000" w:rsidRPr="00F26442" w:rsidP="00F26442">
      <w:pPr>
        <w:pStyle w:val="ListBullet"/>
      </w:pPr>
      <w:r w:rsidRPr="00F26442">
        <w:t>role of equipment for meeting hygiene and sanitation and workplace requirements</w:t>
      </w:r>
    </w:p>
    <w:p w:rsidR="00000000" w:rsidRPr="00F26442" w:rsidP="00F26442">
      <w:pPr>
        <w:pStyle w:val="ListBullet"/>
      </w:pPr>
      <w:r w:rsidRPr="00F26442">
        <w:t>segregation requirements for sus</w:t>
      </w:r>
      <w:r w:rsidRPr="00F26442">
        <w:t xml:space="preserve">pect animals, and equipment needed to investigate suspect pens </w:t>
      </w:r>
    </w:p>
    <w:p w:rsidR="00000000" w:rsidRPr="00F26442" w:rsidP="00F26442">
      <w:pPr>
        <w:pStyle w:val="ListBullet"/>
      </w:pPr>
      <w:r w:rsidRPr="00F26442">
        <w:t>workplace procedures and regulatory requirements for:</w:t>
      </w:r>
    </w:p>
    <w:p w:rsidR="00000000" w:rsidRPr="00F26442" w:rsidP="00F26442">
      <w:pPr>
        <w:pStyle w:val="ListBullet2"/>
      </w:pPr>
      <w:r w:rsidRPr="00F26442">
        <w:t>ante-mortem inspection for target species</w:t>
      </w:r>
    </w:p>
    <w:p w:rsidR="00000000" w:rsidRPr="00F26442" w:rsidP="00F26442">
      <w:pPr>
        <w:pStyle w:val="ListBullet2"/>
      </w:pPr>
      <w:r w:rsidRPr="00F26442">
        <w:t>denaturing animals condemned at ante-mortem</w:t>
      </w:r>
    </w:p>
    <w:p w:rsidR="00000000" w:rsidRPr="00F26442" w:rsidP="00F26442">
      <w:pPr>
        <w:pStyle w:val="ListBullet2"/>
      </w:pPr>
      <w:r w:rsidRPr="00F26442">
        <w:t>emergency kills and euthanising stock in lairage</w:t>
      </w:r>
    </w:p>
    <w:p w:rsidR="00000000" w:rsidRPr="00F26442" w:rsidP="00F26442">
      <w:pPr>
        <w:pStyle w:val="ListBullet2"/>
      </w:pPr>
      <w:r w:rsidRPr="00F26442">
        <w:t>hygiene and sanitation</w:t>
      </w:r>
    </w:p>
    <w:p w:rsidR="00000000" w:rsidRPr="00F26442" w:rsidP="00F26442">
      <w:pPr>
        <w:pStyle w:val="ListBullet2"/>
      </w:pPr>
      <w:r w:rsidRPr="00F26442">
        <w:t>hygiene and sanitary sequence requirements</w:t>
      </w:r>
    </w:p>
    <w:p w:rsidR="00000000" w:rsidRPr="00F26442" w:rsidP="00F26442">
      <w:pPr>
        <w:pStyle w:val="ListBullet2"/>
      </w:pPr>
      <w:r w:rsidRPr="00F26442">
        <w:t>retaining carcases</w:t>
      </w:r>
    </w:p>
    <w:p w:rsidR="00000000" w:rsidRPr="00F26442" w:rsidP="00F26442">
      <w:pPr>
        <w:pStyle w:val="ListBullet2"/>
      </w:pPr>
      <w:r w:rsidRPr="00F26442">
        <w:t>identifying, collecting and submitting specimens</w:t>
      </w:r>
    </w:p>
    <w:p w:rsidR="00000000" w:rsidRPr="00F26442" w:rsidP="00F26442">
      <w:pPr>
        <w:pStyle w:val="ListBullet2"/>
      </w:pPr>
      <w:r w:rsidRPr="00F26442">
        <w:t>humane destruction of target species</w:t>
      </w:r>
    </w:p>
    <w:p w:rsidR="00000000" w:rsidRPr="00F26442" w:rsidP="00F26442">
      <w:pPr>
        <w:pStyle w:val="ListBullet2"/>
      </w:pPr>
      <w:r w:rsidRPr="00F26442">
        <w:t>emergency and suspect slaughter</w:t>
      </w:r>
    </w:p>
    <w:p w:rsidR="00000000" w:rsidRPr="00F26442" w:rsidP="00F26442">
      <w:pPr>
        <w:pStyle w:val="ListBullet2"/>
      </w:pPr>
      <w:r w:rsidRPr="00F26442">
        <w:t>disposal of condemned carcase</w:t>
      </w:r>
    </w:p>
    <w:p w:rsidR="00000000" w:rsidRPr="00F26442" w:rsidP="00F26442">
      <w:pPr>
        <w:pStyle w:val="ListBullet2"/>
      </w:pPr>
      <w:r w:rsidRPr="00F26442">
        <w:t>reporting on ante-morte</w:t>
      </w:r>
      <w:r w:rsidRPr="00F26442">
        <w:t>m</w:t>
      </w:r>
    </w:p>
    <w:p w:rsidR="00000000" w:rsidRPr="00F26442" w:rsidP="00F26442">
      <w:pPr>
        <w:pStyle w:val="ListBullet"/>
      </w:pPr>
      <w:r w:rsidRPr="00F26442">
        <w:t>the relevant registration processes and procedures for meat inspectors at their specific premises.</w:t>
      </w:r>
    </w:p>
    <w:p w:rsidR="00000000" w:rsidRPr="00F26442" w:rsidP="00F26442">
      <w:pPr>
        <w:pStyle w:val="AllowPageBreak"/>
      </w:pPr>
    </w:p>
    <w:p w:rsidR="00000000" w:rsidRPr="00F26442" w:rsidP="00F26442">
      <w:pPr>
        <w:pStyle w:val="Heading1"/>
      </w:pPr>
      <w:bookmarkStart w:id="4" w:name="O_1265923"/>
      <w:bookmarkEnd w:id="4"/>
      <w:r w:rsidRPr="00F26442">
        <w:t>Assessment Conditions</w:t>
      </w:r>
    </w:p>
    <w:p w:rsidR="00000000" w:rsidRPr="00F26442" w:rsidP="00574050">
      <w:pPr>
        <w:pStyle w:val="BodyText"/>
      </w:pPr>
      <w:r w:rsidRPr="00F26442">
        <w:t>Assessment of the skills in this unit of competency must take place under the following conditions:</w:t>
      </w:r>
    </w:p>
    <w:p w:rsidR="00000000" w:rsidRPr="00F26442" w:rsidP="00F26442">
      <w:pPr>
        <w:pStyle w:val="ListBullet"/>
      </w:pPr>
      <w:r w:rsidRPr="00F26442">
        <w:t>physical conditions: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ante-mortem inspection skills must be demonstrated in a slaughtering establishment</w:t>
      </w:r>
    </w:p>
    <w:p w:rsidR="00000000" w:rsidRPr="00F26442" w:rsidP="00F26442">
      <w:pPr>
        <w:pStyle w:val="ListBullet2"/>
      </w:pPr>
      <w:r w:rsidRPr="00F26442">
        <w:t>knowledge of species diseases and conditions may be demonstrated in a classroom setting or similar environment equipped with relevant reference materia</w:t>
      </w:r>
      <w:r w:rsidRPr="00F26442">
        <w:t>ls</w:t>
      </w:r>
    </w:p>
    <w:p w:rsidR="00000000" w:rsidRPr="00F26442" w:rsidP="00F26442">
      <w:pPr>
        <w:pStyle w:val="ListBullet"/>
      </w:pPr>
      <w:r w:rsidRPr="00F26442">
        <w:t>resources, equipment and materials: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live animals for inspection</w:t>
      </w:r>
    </w:p>
    <w:p w:rsidR="00000000" w:rsidRPr="00F26442" w:rsidP="00F26442">
      <w:pPr>
        <w:pStyle w:val="ListBullet2"/>
      </w:pPr>
      <w:r w:rsidRPr="00F26442">
        <w:t>photographs or graphic samples of disease and conditions relevant to species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PPE</w:t>
      </w:r>
    </w:p>
    <w:p w:rsidR="00000000" w:rsidRPr="00F26442" w:rsidP="00F26442">
      <w:pPr>
        <w:pStyle w:val="ListBullet"/>
      </w:pPr>
      <w:r w:rsidRPr="00F26442">
        <w:t>specifications: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workplace standard operating procedures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relevant Australian Standard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regulatory requirem</w:t>
      </w:r>
      <w:r w:rsidRPr="00F26442">
        <w:rPr>
          <w:rStyle w:val="Emphasis"/>
        </w:rPr>
        <w:t>ents for site</w:t>
      </w:r>
    </w:p>
    <w:p w:rsidR="00000000" w:rsidRPr="00F26442" w:rsidP="00F26442">
      <w:pPr>
        <w:pStyle w:val="ListBullet"/>
      </w:pPr>
      <w:r w:rsidRPr="00F26442">
        <w:t>relationships: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under the supervision of a meat inspector or a suitably qualified supervisor</w:t>
      </w:r>
    </w:p>
    <w:p w:rsidR="00000000" w:rsidRPr="00F26442" w:rsidP="00F26442">
      <w:pPr>
        <w:pStyle w:val="ListBullet"/>
      </w:pPr>
      <w:r w:rsidRPr="00F26442">
        <w:t>timeframes:</w:t>
      </w:r>
    </w:p>
    <w:p w:rsidR="00000000" w:rsidRPr="00F26442" w:rsidP="00F26442">
      <w:pPr>
        <w:pStyle w:val="ListBullet2"/>
      </w:pPr>
      <w:r w:rsidRPr="00F26442">
        <w:rPr>
          <w:rStyle w:val="Emphasis"/>
        </w:rPr>
        <w:t>ante-mortem inspections must be performed at normal production speed.</w:t>
      </w:r>
    </w:p>
    <w:p w:rsidR="00000000" w:rsidRPr="00F26442" w:rsidP="00574050">
      <w:pPr>
        <w:pStyle w:val="BodyText"/>
      </w:pPr>
      <w:r w:rsidRPr="00F26442">
        <w:t>Assessment for this unit must include at least three forms of evidence.</w:t>
      </w:r>
    </w:p>
    <w:p w:rsidR="00000000" w:rsidRPr="00F26442" w:rsidP="00574050">
      <w:pPr>
        <w:pStyle w:val="BodyText"/>
      </w:pPr>
      <w:r w:rsidRPr="00F26442">
        <w:t>Assessors of this unit must satisfy the requirements for assessors in applicable vocational education and training legislation, frameworks and/or standards.</w:t>
      </w:r>
    </w:p>
    <w:p w:rsidR="00000000" w:rsidRPr="00F26442" w:rsidP="00574050">
      <w:pPr>
        <w:pStyle w:val="BodyText"/>
      </w:pPr>
      <w:r w:rsidRPr="00F26442">
        <w:t>A suitably qualified superv</w:t>
      </w:r>
      <w:r w:rsidRPr="00F26442">
        <w:t xml:space="preserve">isor must hold an AMP </w:t>
      </w:r>
      <w:r>
        <w:t>‘</w:t>
      </w:r>
      <w:r w:rsidRPr="00F26442">
        <w:t>Perform ante and post-mortem inspection</w:t>
      </w:r>
      <w:r>
        <w:t>’</w:t>
      </w:r>
      <w:r w:rsidRPr="00F26442">
        <w:t xml:space="preserve"> unit specific to the species addressed in this unit, or have equivalent and current skills and knowledge.</w:t>
      </w:r>
    </w:p>
    <w:p w:rsidR="00000000" w:rsidRPr="00F26442" w:rsidP="00F26442">
      <w:pPr>
        <w:pStyle w:val="BodyTextBold"/>
      </w:pPr>
      <w:r w:rsidRPr="00F26442">
        <w:t>Mandatory workplace requirements</w:t>
      </w:r>
    </w:p>
    <w:p w:rsidR="00000000" w:rsidRPr="00F26442" w:rsidP="00574050">
      <w:pPr>
        <w:pStyle w:val="BodyText"/>
      </w:pPr>
      <w:r w:rsidRPr="00F26442">
        <w:t xml:space="preserve">Mandatory workplace requirements are shown in </w:t>
      </w:r>
      <w:r w:rsidRPr="00F26442">
        <w:rPr>
          <w:rStyle w:val="Emphasis"/>
        </w:rPr>
        <w:t>italic</w:t>
      </w:r>
      <w:r w:rsidRPr="00F26442">
        <w:t xml:space="preserve"> </w:t>
      </w:r>
      <w:r w:rsidRPr="00F26442">
        <w:t>text. Refer to the Companion Volume Implementation Guide for further information.</w:t>
      </w:r>
    </w:p>
    <w:p w:rsidR="00000000" w:rsidRPr="00F26442" w:rsidP="00F26442">
      <w:pPr>
        <w:pStyle w:val="Heading1"/>
      </w:pPr>
      <w:bookmarkStart w:id="5" w:name="O_1265926"/>
      <w:bookmarkEnd w:id="5"/>
      <w:r w:rsidRPr="00F26442">
        <w:t>Links</w:t>
      </w:r>
    </w:p>
    <w:p w:rsidR="00000000" w:rsidRPr="00F26442" w:rsidP="00574050">
      <w:pPr>
        <w:pStyle w:val="BodyText"/>
      </w:pPr>
      <w:r w:rsidRPr="00F264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445D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6442" w:rsidP="00F26442"/>
    <w:sectPr w:rsidSect="00F264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42" w:rsidRPr="00574050" w:rsidP="00574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50" w:rsidP="00F26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050" w:rsidP="00F26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4050" w:rsidP="00F26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442" w:rsidRPr="00574050" w:rsidP="00574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50" w:rsidRPr="002D2AF8" w:rsidP="00F26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AMPMSY303 Conduct ante-mortem inspection and make disposition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74050" w:rsidP="00F26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041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EE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8D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442"/>
  </w:style>
  <w:style w:type="character" w:customStyle="1" w:styleId="Heading1Char">
    <w:name w:val="Heading 1 Char"/>
    <w:basedOn w:val="DefaultParagraphFont"/>
    <w:link w:val="Heading1"/>
    <w:rsid w:val="00F26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4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4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64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6442"/>
    <w:rPr>
      <w:i/>
    </w:rPr>
  </w:style>
  <w:style w:type="paragraph" w:customStyle="1" w:styleId="SuperHeading">
    <w:name w:val="SuperHeading"/>
    <w:basedOn w:val="Normal"/>
    <w:rsid w:val="00F26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6442"/>
    <w:rPr>
      <w:b/>
    </w:rPr>
  </w:style>
  <w:style w:type="character" w:customStyle="1" w:styleId="Heading2Char">
    <w:name w:val="Heading 2 Char"/>
    <w:basedOn w:val="DefaultParagraphFont"/>
    <w:link w:val="Heading2"/>
    <w:rsid w:val="00F26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4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6442"/>
    <w:rPr>
      <w:b/>
      <w:spacing w:val="0"/>
    </w:rPr>
  </w:style>
  <w:style w:type="paragraph" w:customStyle="1" w:styleId="SuperTitle">
    <w:name w:val="SuperTitle"/>
    <w:basedOn w:val="Title"/>
    <w:rsid w:val="00F26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442"/>
  </w:style>
  <w:style w:type="paragraph" w:styleId="TableofFigures">
    <w:name w:val="table of figures"/>
    <w:basedOn w:val="Normal"/>
    <w:next w:val="Normal"/>
    <w:semiHidden/>
    <w:rsid w:val="00F26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4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442"/>
    <w:rPr>
      <w:rFonts w:ascii="Wingdings" w:hAnsi="Wingdings"/>
    </w:rPr>
  </w:style>
  <w:style w:type="paragraph" w:customStyle="1" w:styleId="TableHeading">
    <w:name w:val="Table Heading"/>
    <w:basedOn w:val="HeadingBase"/>
    <w:rsid w:val="00F26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442"/>
    <w:rPr>
      <w:color w:val="0033CC"/>
      <w:u w:val="none"/>
    </w:rPr>
  </w:style>
  <w:style w:type="paragraph" w:customStyle="1" w:styleId="BodyTextRight">
    <w:name w:val="Body Text Right"/>
    <w:basedOn w:val="BodyText"/>
    <w:rsid w:val="00F26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4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442"/>
    <w:rPr>
      <w:sz w:val="32"/>
    </w:rPr>
  </w:style>
  <w:style w:type="paragraph" w:customStyle="1" w:styleId="HeadingProcedure">
    <w:name w:val="Heading Procedure"/>
    <w:basedOn w:val="HeadingBase"/>
    <w:next w:val="Normal"/>
    <w:rsid w:val="00F26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442"/>
    <w:pPr>
      <w:spacing w:before="60" w:after="60"/>
    </w:pPr>
  </w:style>
  <w:style w:type="paragraph" w:styleId="ListContinue">
    <w:name w:val="List Continue"/>
    <w:basedOn w:val="List"/>
    <w:rsid w:val="00F26442"/>
    <w:pPr>
      <w:ind w:firstLine="0"/>
    </w:pPr>
  </w:style>
  <w:style w:type="paragraph" w:customStyle="1" w:styleId="ListNote">
    <w:name w:val="List Note"/>
    <w:basedOn w:val="List"/>
    <w:rsid w:val="00F26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442"/>
    <w:rPr>
      <w:rFonts w:ascii="Courier New" w:hAnsi="Courier New"/>
    </w:rPr>
  </w:style>
  <w:style w:type="paragraph" w:customStyle="1" w:styleId="NoteBullet">
    <w:name w:val="Note Bullet"/>
    <w:basedOn w:val="Note"/>
    <w:rsid w:val="00F26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4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442"/>
    <w:rPr>
      <w:b/>
      <w:smallCaps/>
    </w:rPr>
  </w:style>
  <w:style w:type="paragraph" w:customStyle="1" w:styleId="TableListNumber">
    <w:name w:val="Table List Number"/>
    <w:basedOn w:val="ListNumber"/>
    <w:rsid w:val="00F26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442"/>
    <w:pPr>
      <w:numPr>
        <w:numId w:val="9"/>
      </w:numPr>
    </w:pPr>
  </w:style>
  <w:style w:type="paragraph" w:customStyle="1" w:styleId="ListAlpha2">
    <w:name w:val="List Alpha 2"/>
    <w:basedOn w:val="List2"/>
    <w:rsid w:val="00F26442"/>
    <w:pPr>
      <w:numPr>
        <w:numId w:val="8"/>
      </w:numPr>
    </w:pPr>
  </w:style>
  <w:style w:type="paragraph" w:styleId="List2">
    <w:name w:val="List 2"/>
    <w:basedOn w:val="BodyText"/>
    <w:rsid w:val="00F26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4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4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442"/>
    <w:pPr>
      <w:numPr>
        <w:numId w:val="4"/>
      </w:numPr>
    </w:pPr>
  </w:style>
  <w:style w:type="paragraph" w:styleId="ListContinue2">
    <w:name w:val="List Continue 2"/>
    <w:basedOn w:val="List2"/>
    <w:rsid w:val="00F26442"/>
    <w:pPr>
      <w:ind w:firstLine="0"/>
    </w:pPr>
  </w:style>
  <w:style w:type="paragraph" w:styleId="ListContinue3">
    <w:name w:val="List Continue 3"/>
    <w:basedOn w:val="List3"/>
    <w:rsid w:val="00F26442"/>
    <w:pPr>
      <w:ind w:left="1021" w:firstLine="0"/>
    </w:pPr>
  </w:style>
  <w:style w:type="paragraph" w:styleId="ListContinue4">
    <w:name w:val="List Continue 4"/>
    <w:basedOn w:val="List4"/>
    <w:rsid w:val="00F26442"/>
    <w:pPr>
      <w:ind w:firstLine="0"/>
    </w:pPr>
  </w:style>
  <w:style w:type="paragraph" w:styleId="ListContinue5">
    <w:name w:val="List Continue 5"/>
    <w:basedOn w:val="List5"/>
    <w:rsid w:val="00F26442"/>
    <w:pPr>
      <w:ind w:firstLine="0"/>
    </w:pPr>
  </w:style>
  <w:style w:type="paragraph" w:styleId="ListNumber3">
    <w:name w:val="List Number 3"/>
    <w:basedOn w:val="List3"/>
    <w:rsid w:val="00F26442"/>
    <w:pPr>
      <w:numPr>
        <w:numId w:val="5"/>
      </w:numPr>
    </w:pPr>
  </w:style>
  <w:style w:type="paragraph" w:styleId="ListNumber4">
    <w:name w:val="List Number 4"/>
    <w:basedOn w:val="List4"/>
    <w:rsid w:val="00F26442"/>
    <w:pPr>
      <w:numPr>
        <w:numId w:val="6"/>
      </w:numPr>
    </w:pPr>
  </w:style>
  <w:style w:type="paragraph" w:styleId="ListNumber5">
    <w:name w:val="List Number 5"/>
    <w:basedOn w:val="List5"/>
    <w:rsid w:val="00F26442"/>
    <w:pPr>
      <w:numPr>
        <w:numId w:val="7"/>
      </w:numPr>
    </w:pPr>
  </w:style>
  <w:style w:type="paragraph" w:styleId="BlockText">
    <w:name w:val="Block Text"/>
    <w:basedOn w:val="Normal"/>
    <w:rsid w:val="00F26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442"/>
    <w:rPr>
      <w:sz w:val="16"/>
      <w:vertAlign w:val="superscript"/>
    </w:rPr>
  </w:style>
  <w:style w:type="character" w:customStyle="1" w:styleId="Symbols">
    <w:name w:val="Symbols"/>
    <w:basedOn w:val="DefaultParagraphFont"/>
    <w:rsid w:val="00F26442"/>
    <w:rPr>
      <w:rFonts w:ascii="Symbol" w:hAnsi="Symbol"/>
    </w:rPr>
  </w:style>
  <w:style w:type="character" w:customStyle="1" w:styleId="MenuOptions">
    <w:name w:val="Menu Options"/>
    <w:basedOn w:val="DefaultParagraphFont"/>
    <w:rsid w:val="00F26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442"/>
    <w:rPr>
      <w:b/>
    </w:rPr>
  </w:style>
  <w:style w:type="character" w:customStyle="1" w:styleId="Underlined">
    <w:name w:val="Underlined"/>
    <w:basedOn w:val="DefaultParagraphFont"/>
    <w:rsid w:val="00F26442"/>
    <w:rPr>
      <w:u w:val="single"/>
    </w:rPr>
  </w:style>
  <w:style w:type="paragraph" w:customStyle="1" w:styleId="TableBodyTextRight">
    <w:name w:val="Table Body Text Right"/>
    <w:basedOn w:val="TableBodyText"/>
    <w:rsid w:val="00F26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442"/>
    <w:rPr>
      <w:sz w:val="18"/>
    </w:rPr>
  </w:style>
  <w:style w:type="paragraph" w:customStyle="1" w:styleId="BodySmallRight">
    <w:name w:val="Body Small Right"/>
    <w:basedOn w:val="BodyTextRight"/>
    <w:rsid w:val="00F26442"/>
    <w:rPr>
      <w:sz w:val="18"/>
      <w:szCs w:val="18"/>
    </w:rPr>
  </w:style>
  <w:style w:type="paragraph" w:customStyle="1" w:styleId="MarginEdition">
    <w:name w:val="Margin Edition"/>
    <w:basedOn w:val="MarginNote"/>
    <w:rsid w:val="00F26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442"/>
    <w:rPr>
      <w:sz w:val="2"/>
      <w:szCs w:val="2"/>
    </w:rPr>
  </w:style>
  <w:style w:type="character" w:customStyle="1" w:styleId="Small">
    <w:name w:val="Small"/>
    <w:basedOn w:val="DefaultParagraphFont"/>
    <w:rsid w:val="00F26442"/>
    <w:rPr>
      <w:sz w:val="16"/>
    </w:rPr>
  </w:style>
  <w:style w:type="paragraph" w:customStyle="1" w:styleId="WideTable">
    <w:name w:val="Wide Table"/>
    <w:basedOn w:val="Normal"/>
    <w:rsid w:val="00F26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442"/>
  </w:style>
  <w:style w:type="paragraph" w:styleId="Quote">
    <w:name w:val="Quote"/>
    <w:basedOn w:val="Heading1"/>
    <w:link w:val="QuoteChar"/>
    <w:qFormat/>
    <w:rsid w:val="00F26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442"/>
    <w:pPr>
      <w:pageBreakBefore/>
    </w:pPr>
  </w:style>
  <w:style w:type="paragraph" w:customStyle="1" w:styleId="Border">
    <w:name w:val="Border"/>
    <w:basedOn w:val="Normal"/>
    <w:qFormat/>
    <w:rsid w:val="00F26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442"/>
    <w:rPr>
      <w:u w:val="single"/>
    </w:rPr>
  </w:style>
  <w:style w:type="character" w:customStyle="1" w:styleId="BoldandItalics">
    <w:name w:val="Bold and Italics"/>
    <w:qFormat/>
    <w:rsid w:val="00F26442"/>
    <w:rPr>
      <w:b/>
      <w:i/>
      <w:u w:val="none"/>
    </w:rPr>
  </w:style>
  <w:style w:type="paragraph" w:styleId="BalloonText">
    <w:name w:val="Balloon Text"/>
    <w:basedOn w:val="Normal"/>
    <w:link w:val="BalloonTextChar"/>
    <w:rsid w:val="00F26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4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4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3844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AMPMSY303 Conduct ante-mortem inspection and make disposition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