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368" w:rsidP="009D7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AMPMSY302 Recognise signs of emergency and notifiable animal diseases</w:t>
      </w:r>
      <w:r>
        <w:fldChar w:fldCharType="end"/>
      </w:r>
    </w:p>
    <w:p w:rsidR="009D7368" w:rsidP="009D7368">
      <w:pPr>
        <w:pStyle w:val="Version"/>
        <w:sectPr w:rsidSect="00541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595" w:rsidP="00541595">
      <w:pPr>
        <w:pStyle w:val="SuperHeading"/>
      </w:pPr>
      <w:r w:rsidRPr="00541595">
        <w:t>AMPMSY302 Recognise signs of emergency and notifiable animal diseases</w:t>
      </w:r>
    </w:p>
    <w:p w:rsidR="00000000" w:rsidRPr="00541595" w:rsidP="00541595">
      <w:pPr>
        <w:pStyle w:val="Heading1"/>
      </w:pPr>
      <w:bookmarkStart w:id="1" w:name="O_1265891"/>
      <w:bookmarkEnd w:id="1"/>
      <w:r w:rsidRPr="005415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1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Comments</w:t>
            </w:r>
          </w:p>
        </w:tc>
      </w:tr>
      <w:tr w:rsidTr="00541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BodyText"/>
            </w:pPr>
            <w:r w:rsidRPr="00541595">
              <w:t>This version released with AMP Australian Meat Processing Training Package Version 8.0.</w:t>
            </w:r>
          </w:p>
        </w:tc>
      </w:tr>
    </w:tbl>
    <w:p w:rsidR="00000000" w:rsidRPr="00541595" w:rsidP="00541595">
      <w:pPr>
        <w:pStyle w:val="BodyText"/>
      </w:pPr>
    </w:p>
    <w:p w:rsidR="00000000" w:rsidRPr="00541595" w:rsidP="00541595">
      <w:pPr>
        <w:pStyle w:val="AllowPageBreak"/>
      </w:pPr>
    </w:p>
    <w:p w:rsidR="00000000" w:rsidRPr="00541595" w:rsidP="00541595">
      <w:pPr>
        <w:pStyle w:val="Heading1"/>
      </w:pPr>
      <w:bookmarkStart w:id="2" w:name="O_1265892"/>
      <w:bookmarkEnd w:id="2"/>
      <w:r w:rsidRPr="00541595">
        <w:t>Application</w:t>
      </w:r>
    </w:p>
    <w:p w:rsidR="00000000" w:rsidRPr="00541595" w:rsidP="009D7368">
      <w:pPr>
        <w:pStyle w:val="BodyText"/>
      </w:pPr>
      <w:r w:rsidRPr="00541595">
        <w:t xml:space="preserve">This unit covers the skills and knowledge required to recognise the signs of emergency animal diseases (EADs) and conditions in food animals that may be identified while carrying out ante-mortem and post-mortem meat inspection procedures. </w:t>
      </w:r>
    </w:p>
    <w:p w:rsidR="00000000" w:rsidRPr="00541595" w:rsidP="009D7368">
      <w:pPr>
        <w:pStyle w:val="BodyText"/>
      </w:pPr>
      <w:r w:rsidRPr="00541595">
        <w:t xml:space="preserve">The </w:t>
      </w:r>
      <w:r w:rsidRPr="00541595">
        <w:t>diseases covered must include the following, at a minimum:</w:t>
      </w:r>
    </w:p>
    <w:p w:rsidR="00000000" w:rsidRPr="00541595" w:rsidP="00541595">
      <w:pPr>
        <w:pStyle w:val="ListBullet2"/>
      </w:pPr>
      <w:r w:rsidRPr="00541595">
        <w:t>foot and mouth disease (FMD)</w:t>
      </w:r>
    </w:p>
    <w:p w:rsidR="00000000" w:rsidRPr="00541595" w:rsidP="00541595">
      <w:pPr>
        <w:pStyle w:val="ListBullet2"/>
      </w:pPr>
      <w:r w:rsidRPr="00541595">
        <w:t>bovine spongiform encephalopathy (BSE)</w:t>
      </w:r>
    </w:p>
    <w:p w:rsidR="00000000" w:rsidRPr="00541595" w:rsidP="00541595">
      <w:pPr>
        <w:pStyle w:val="ListBullet2"/>
      </w:pPr>
      <w:r w:rsidRPr="00541595">
        <w:t>tuberculosis (TB)</w:t>
      </w:r>
    </w:p>
    <w:p w:rsidR="00000000" w:rsidRPr="00541595" w:rsidP="00541595">
      <w:pPr>
        <w:pStyle w:val="ListBullet2"/>
      </w:pPr>
      <w:r w:rsidRPr="00541595">
        <w:t>African swine fever (ASF)</w:t>
      </w:r>
    </w:p>
    <w:p w:rsidR="00000000" w:rsidRPr="00541595" w:rsidP="00541595">
      <w:pPr>
        <w:pStyle w:val="ListBullet2"/>
      </w:pPr>
      <w:r w:rsidRPr="00541595">
        <w:t>contagious pustular dermatitis (also known as scabby mouth)</w:t>
      </w:r>
    </w:p>
    <w:p w:rsidR="00000000" w:rsidRPr="00541595" w:rsidP="00541595">
      <w:pPr>
        <w:pStyle w:val="ListBullet2"/>
      </w:pPr>
      <w:r w:rsidRPr="00541595">
        <w:t>Orf virus</w:t>
      </w:r>
    </w:p>
    <w:p w:rsidR="00000000" w:rsidRPr="00541595" w:rsidP="00541595">
      <w:pPr>
        <w:pStyle w:val="ListBullet2"/>
      </w:pPr>
      <w:r w:rsidRPr="00541595">
        <w:t>Cysticercus bovis</w:t>
      </w:r>
    </w:p>
    <w:p w:rsidR="00000000" w:rsidRPr="00541595" w:rsidP="00541595">
      <w:pPr>
        <w:pStyle w:val="ListBullet2"/>
      </w:pPr>
      <w:r w:rsidRPr="00541595">
        <w:t xml:space="preserve">anthrax </w:t>
      </w:r>
    </w:p>
    <w:p w:rsidR="00000000" w:rsidRPr="00541595" w:rsidP="00541595">
      <w:pPr>
        <w:pStyle w:val="ListBullet2"/>
      </w:pPr>
      <w:r w:rsidRPr="00541595">
        <w:t>Japanese encephalitis</w:t>
      </w:r>
    </w:p>
    <w:p w:rsidR="00000000" w:rsidRPr="00541595" w:rsidP="00541595">
      <w:pPr>
        <w:pStyle w:val="ListBullet2"/>
      </w:pPr>
      <w:r w:rsidRPr="00541595">
        <w:t>scrapie</w:t>
      </w:r>
    </w:p>
    <w:p w:rsidR="00000000" w:rsidRPr="00541595" w:rsidP="00541595">
      <w:pPr>
        <w:pStyle w:val="ListBullet2"/>
      </w:pPr>
      <w:r w:rsidRPr="00541595">
        <w:t>transmissible gastroenteritis (TGE)</w:t>
      </w:r>
    </w:p>
    <w:p w:rsidR="00000000" w:rsidRPr="00541595" w:rsidP="00541595">
      <w:pPr>
        <w:pStyle w:val="ListBullet2"/>
      </w:pPr>
      <w:r w:rsidRPr="00541595">
        <w:t xml:space="preserve">lumpy skin disease. </w:t>
      </w:r>
    </w:p>
    <w:p w:rsidR="00000000" w:rsidRPr="00541595" w:rsidP="009D7368">
      <w:pPr>
        <w:pStyle w:val="BodyText"/>
      </w:pPr>
      <w:r w:rsidRPr="00541595">
        <w:t>This unit applies to individuals who undertake work related to meat safety, and who carry out ante-mortem inspection of food animals or post-m</w:t>
      </w:r>
      <w:r w:rsidRPr="00541595">
        <w:t>ortem inspection of carcases and meat.</w:t>
      </w:r>
    </w:p>
    <w:p w:rsidR="00000000" w:rsidRPr="00541595" w:rsidP="009D7368">
      <w:pPr>
        <w:pStyle w:val="BodyText"/>
      </w:pPr>
      <w:r w:rsidRPr="00541595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541595" w:rsidP="009D7368">
      <w:pPr>
        <w:pStyle w:val="BodyText"/>
      </w:pPr>
      <w:r w:rsidRPr="00541595">
        <w:t>Legislative an</w:t>
      </w:r>
      <w:r w:rsidRPr="00541595">
        <w:t>d regulatory requirements apply to meat inspection and meat safety and are enforced through national and/or state/territory jurisdictions. Users must check with the relevant regulatory authority before delivery.</w:t>
      </w:r>
    </w:p>
    <w:p w:rsidR="00000000" w:rsidRPr="00541595" w:rsidP="00541595">
      <w:pPr>
        <w:pStyle w:val="Heading1"/>
      </w:pPr>
      <w:bookmarkStart w:id="3" w:name="O_1265893"/>
      <w:bookmarkEnd w:id="3"/>
      <w:r w:rsidRPr="00541595">
        <w:t>Pre-requisite Unit</w:t>
      </w:r>
    </w:p>
    <w:p w:rsidR="00000000" w:rsidRPr="00541595" w:rsidP="009D7368">
      <w:pPr>
        <w:pStyle w:val="BodyText"/>
      </w:pPr>
      <w:r w:rsidRPr="00541595">
        <w:t>Nil</w:t>
      </w:r>
    </w:p>
    <w:p w:rsidR="00000000" w:rsidRPr="00541595" w:rsidP="00541595">
      <w:pPr>
        <w:pStyle w:val="Heading1"/>
      </w:pPr>
      <w:bookmarkStart w:id="4" w:name="O_1265895"/>
      <w:bookmarkEnd w:id="4"/>
      <w:r w:rsidRPr="00541595">
        <w:t>Unit Sector</w:t>
      </w:r>
    </w:p>
    <w:p w:rsidR="00000000" w:rsidRPr="00541595" w:rsidP="009D7368">
      <w:pPr>
        <w:pStyle w:val="BodyText"/>
      </w:pPr>
      <w:r w:rsidRPr="00541595">
        <w:t>Meat Safety (MSY)</w:t>
      </w:r>
    </w:p>
    <w:p w:rsidR="00000000" w:rsidRPr="00541595" w:rsidP="00541595">
      <w:pPr>
        <w:pStyle w:val="Heading1"/>
      </w:pPr>
      <w:bookmarkStart w:id="5" w:name="O_1265896"/>
      <w:bookmarkEnd w:id="5"/>
      <w:r w:rsidRPr="005415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Performance Criteria</w:t>
            </w:r>
          </w:p>
        </w:tc>
      </w:tr>
      <w:tr w:rsidTr="009D7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BodyText"/>
            </w:pPr>
            <w:r w:rsidRPr="005415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t>1. Identify the major EADs related to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BodyText"/>
            </w:pPr>
            <w:r w:rsidRPr="00541595">
              <w:t>1.1 Locate and identify the purpose of the Emergency Animal Disease Response Agreement (EADRA)</w:t>
            </w:r>
          </w:p>
          <w:p w:rsidR="00000000" w:rsidRPr="00541595" w:rsidP="00541595">
            <w:pPr>
              <w:pStyle w:val="BodyText"/>
            </w:pPr>
            <w:r w:rsidRPr="00541595">
              <w:t xml:space="preserve">1.2 Identify </w:t>
            </w:r>
            <w:r w:rsidRPr="00541595">
              <w:t>the major EADs of food animals processed in Australia</w:t>
            </w:r>
          </w:p>
          <w:p w:rsidR="00000000" w:rsidRPr="00541595" w:rsidP="00541595">
            <w:pPr>
              <w:pStyle w:val="BodyText"/>
            </w:pPr>
            <w:r w:rsidRPr="00541595">
              <w:t>1.3 Identify and describe the signs of major EADs as they may be seen at ante-mortem</w:t>
            </w:r>
          </w:p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t>1.4 Identify and describe the signs of major EADs as typically seen at post-mortem if present</w:t>
            </w:r>
          </w:p>
        </w:tc>
      </w:tr>
      <w:tr w:rsidTr="009D7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t>2. Identify the reporting process for suspected EADs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BodyText"/>
            </w:pPr>
            <w:r w:rsidRPr="00541595">
              <w:t>2.1 Identify the responsibilities for reporting EAD suspects as set out in the workplace emergency disease preparedness plan</w:t>
            </w:r>
          </w:p>
          <w:p w:rsidR="00000000" w:rsidRPr="00541595" w:rsidP="00541595">
            <w:pPr>
              <w:pStyle w:val="BodyText"/>
            </w:pPr>
            <w:r w:rsidRPr="00541595">
              <w:t xml:space="preserve">2.2 Identify the meat processing workplace’s responsibilities after reporting </w:t>
            </w:r>
            <w:r w:rsidRPr="00541595">
              <w:t>a suspected EAD outbreak</w:t>
            </w:r>
          </w:p>
          <w:p w:rsidR="00000000" w:rsidRPr="00541595" w:rsidP="00541595">
            <w:pPr>
              <w:pStyle w:val="BodyText"/>
            </w:pPr>
            <w:r w:rsidRPr="00541595">
              <w:t>2.3 Identify and explain the role of the Australian Veterinary Emergency Plan (AUSVETPLAN) in controlling EADs</w:t>
            </w:r>
          </w:p>
          <w:p w:rsidR="00000000" w:rsidRPr="00541595" w:rsidP="00541595">
            <w:pPr>
              <w:pStyle w:val="BodyText"/>
            </w:pPr>
            <w:r w:rsidRPr="00541595">
              <w:t>2.4 Describe the potential impact of EADs on the livestock and meat industry</w:t>
            </w:r>
          </w:p>
        </w:tc>
      </w:tr>
    </w:tbl>
    <w:p w:rsidR="00000000" w:rsidRPr="00541595" w:rsidP="00541595">
      <w:pPr>
        <w:pStyle w:val="BodyText"/>
      </w:pPr>
    </w:p>
    <w:p w:rsidR="00000000" w:rsidRPr="00541595" w:rsidP="00541595">
      <w:pPr>
        <w:pStyle w:val="AllowPageBreak"/>
      </w:pPr>
    </w:p>
    <w:p w:rsidR="00000000" w:rsidRPr="00541595" w:rsidP="00541595">
      <w:pPr>
        <w:pStyle w:val="Heading1"/>
      </w:pPr>
      <w:bookmarkStart w:id="6" w:name="O_1265897"/>
      <w:bookmarkEnd w:id="6"/>
      <w:r w:rsidRPr="00541595">
        <w:t>Foundation Skills</w:t>
      </w:r>
    </w:p>
    <w:p w:rsidR="00000000" w:rsidRPr="009D7368" w:rsidP="009D7368">
      <w:pPr>
        <w:pStyle w:val="BodyText"/>
        <w:rPr>
          <w:i/>
        </w:rPr>
      </w:pPr>
      <w:r w:rsidRPr="009D7368">
        <w:rPr>
          <w:rStyle w:val="Emphasis"/>
        </w:rPr>
        <w:t>This</w:t>
      </w:r>
      <w:r w:rsidRPr="009D7368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1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Description</w:t>
            </w:r>
          </w:p>
        </w:tc>
      </w:tr>
      <w:tr w:rsidTr="00541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ListBullet"/>
            </w:pPr>
            <w:r w:rsidRPr="00541595">
              <w:t>Analyse and interpret EAD information, g</w:t>
            </w:r>
            <w:r w:rsidRPr="00541595">
              <w:t>uidelines and plans</w:t>
            </w:r>
          </w:p>
        </w:tc>
      </w:tr>
    </w:tbl>
    <w:p w:rsidR="00000000" w:rsidRPr="00541595" w:rsidP="00541595">
      <w:pPr>
        <w:pStyle w:val="BodyText"/>
      </w:pPr>
    </w:p>
    <w:p w:rsidR="00000000" w:rsidRPr="00541595" w:rsidP="00541595">
      <w:pPr>
        <w:pStyle w:val="AllowPageBreak"/>
      </w:pPr>
    </w:p>
    <w:p w:rsidR="00000000" w:rsidRPr="00541595" w:rsidP="00541595">
      <w:pPr>
        <w:pStyle w:val="Heading1"/>
      </w:pPr>
      <w:bookmarkStart w:id="7" w:name="O_1265899"/>
      <w:bookmarkEnd w:id="7"/>
      <w:r w:rsidRPr="005415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41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Bold"/>
              <w:rPr>
                <w:lang w:val="en-NZ"/>
              </w:rPr>
            </w:pPr>
            <w:r w:rsidRPr="00541595">
              <w:t>Equivalence status</w:t>
            </w:r>
          </w:p>
        </w:tc>
      </w:tr>
      <w:tr w:rsidTr="00541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BodyText"/>
            </w:pPr>
            <w:r w:rsidRPr="00541595">
              <w:t>AMPMSY302 Recognise signs of emergency and notifiable animal diseases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t xml:space="preserve">AMPA3131 Identify and report emergency diseases of food animals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BodyText"/>
            </w:pPr>
            <w:r w:rsidRPr="00541595">
              <w:t>Unit sector code and title updated</w:t>
            </w:r>
          </w:p>
          <w:p w:rsidR="00000000" w:rsidRPr="00541595" w:rsidP="00541595">
            <w:pPr>
              <w:pStyle w:val="BodyText"/>
            </w:pPr>
            <w:r w:rsidRPr="00541595">
              <w:t>Performance Criteria clarified</w:t>
            </w:r>
          </w:p>
          <w:p w:rsidR="00000000" w:rsidRPr="00541595" w:rsidP="00541595">
            <w:pPr>
              <w:pStyle w:val="BodyText"/>
            </w:pPr>
            <w:r w:rsidRPr="00541595">
              <w:t>Foundation Skills added</w:t>
            </w:r>
          </w:p>
          <w:p w:rsidR="00000000" w:rsidP="00541595">
            <w:pPr>
              <w:pStyle w:val="BodyText"/>
              <w:rPr>
                <w:lang w:val="en-NZ"/>
              </w:rPr>
            </w:pPr>
            <w:r w:rsidRPr="00541595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595" w:rsidP="00541595">
            <w:pPr>
              <w:pStyle w:val="BodyText"/>
            </w:pPr>
            <w:r w:rsidRPr="00541595">
              <w:t>Not equivalent</w:t>
            </w:r>
          </w:p>
        </w:tc>
      </w:tr>
    </w:tbl>
    <w:p w:rsidR="00000000" w:rsidRPr="00541595" w:rsidP="00541595">
      <w:pPr>
        <w:pStyle w:val="BodyText"/>
      </w:pPr>
    </w:p>
    <w:p w:rsidR="00000000" w:rsidRPr="00541595" w:rsidP="00541595">
      <w:pPr>
        <w:pStyle w:val="AllowPageBreak"/>
      </w:pPr>
    </w:p>
    <w:p w:rsidR="00000000" w:rsidRPr="00541595" w:rsidP="00541595">
      <w:pPr>
        <w:pStyle w:val="Heading1"/>
      </w:pPr>
      <w:bookmarkStart w:id="8" w:name="O_1265906"/>
      <w:bookmarkEnd w:id="8"/>
      <w:r w:rsidRPr="00541595">
        <w:t>Links</w:t>
      </w:r>
    </w:p>
    <w:p w:rsidR="00000000" w:rsidRPr="00541595" w:rsidP="009D7368">
      <w:pPr>
        <w:pStyle w:val="BodyText"/>
      </w:pPr>
      <w:r w:rsidRPr="005415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A3B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1595" w:rsidP="00541595"/>
    <w:sectPr w:rsidSect="005415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95" w:rsidRPr="009D7368" w:rsidP="009D7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68" w:rsidP="00541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368" w:rsidP="00541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7368" w:rsidP="00541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595" w:rsidRPr="009D7368" w:rsidP="009D7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68" w:rsidRPr="002D2AF8" w:rsidP="00541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AMPMSY302 Recognise signs of emergency and notifiable animal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D7368" w:rsidP="00541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6E8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6EC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9C0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595"/>
  </w:style>
  <w:style w:type="character" w:customStyle="1" w:styleId="Heading1Char">
    <w:name w:val="Heading 1 Char"/>
    <w:basedOn w:val="DefaultParagraphFont"/>
    <w:link w:val="Heading1"/>
    <w:rsid w:val="00541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5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15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1595"/>
    <w:rPr>
      <w:i/>
    </w:rPr>
  </w:style>
  <w:style w:type="paragraph" w:customStyle="1" w:styleId="SuperHeading">
    <w:name w:val="SuperHeading"/>
    <w:basedOn w:val="Normal"/>
    <w:rsid w:val="00541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1595"/>
    <w:rPr>
      <w:b/>
    </w:rPr>
  </w:style>
  <w:style w:type="character" w:customStyle="1" w:styleId="Heading2Char">
    <w:name w:val="Heading 2 Char"/>
    <w:basedOn w:val="DefaultParagraphFont"/>
    <w:link w:val="Heading2"/>
    <w:rsid w:val="00541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1595"/>
    <w:rPr>
      <w:b/>
      <w:spacing w:val="0"/>
    </w:rPr>
  </w:style>
  <w:style w:type="paragraph" w:customStyle="1" w:styleId="SuperTitle">
    <w:name w:val="SuperTitle"/>
    <w:basedOn w:val="Title"/>
    <w:rsid w:val="00541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5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595"/>
  </w:style>
  <w:style w:type="paragraph" w:styleId="TableofFigures">
    <w:name w:val="table of figures"/>
    <w:basedOn w:val="Normal"/>
    <w:next w:val="Normal"/>
    <w:semiHidden/>
    <w:rsid w:val="00541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5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595"/>
    <w:rPr>
      <w:rFonts w:ascii="Wingdings" w:hAnsi="Wingdings"/>
    </w:rPr>
  </w:style>
  <w:style w:type="paragraph" w:customStyle="1" w:styleId="TableHeading">
    <w:name w:val="Table Heading"/>
    <w:basedOn w:val="HeadingBase"/>
    <w:rsid w:val="00541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595"/>
    <w:rPr>
      <w:color w:val="0033CC"/>
      <w:u w:val="none"/>
    </w:rPr>
  </w:style>
  <w:style w:type="paragraph" w:customStyle="1" w:styleId="BodyTextRight">
    <w:name w:val="Body Text Right"/>
    <w:basedOn w:val="BodyText"/>
    <w:rsid w:val="00541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5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595"/>
    <w:rPr>
      <w:sz w:val="32"/>
    </w:rPr>
  </w:style>
  <w:style w:type="paragraph" w:customStyle="1" w:styleId="HeadingProcedure">
    <w:name w:val="Heading Procedure"/>
    <w:basedOn w:val="HeadingBase"/>
    <w:next w:val="Normal"/>
    <w:rsid w:val="00541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595"/>
    <w:pPr>
      <w:spacing w:before="60" w:after="60"/>
    </w:pPr>
  </w:style>
  <w:style w:type="paragraph" w:styleId="ListContinue">
    <w:name w:val="List Continue"/>
    <w:basedOn w:val="List"/>
    <w:rsid w:val="00541595"/>
    <w:pPr>
      <w:ind w:firstLine="0"/>
    </w:pPr>
  </w:style>
  <w:style w:type="paragraph" w:customStyle="1" w:styleId="ListNote">
    <w:name w:val="List Note"/>
    <w:basedOn w:val="List"/>
    <w:rsid w:val="00541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595"/>
    <w:rPr>
      <w:rFonts w:ascii="Courier New" w:hAnsi="Courier New"/>
    </w:rPr>
  </w:style>
  <w:style w:type="paragraph" w:customStyle="1" w:styleId="NoteBullet">
    <w:name w:val="Note Bullet"/>
    <w:basedOn w:val="Note"/>
    <w:rsid w:val="00541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5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595"/>
    <w:rPr>
      <w:b/>
      <w:smallCaps/>
    </w:rPr>
  </w:style>
  <w:style w:type="paragraph" w:customStyle="1" w:styleId="TableListNumber">
    <w:name w:val="Table List Number"/>
    <w:basedOn w:val="ListNumber"/>
    <w:rsid w:val="00541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595"/>
    <w:pPr>
      <w:numPr>
        <w:numId w:val="9"/>
      </w:numPr>
    </w:pPr>
  </w:style>
  <w:style w:type="paragraph" w:customStyle="1" w:styleId="ListAlpha2">
    <w:name w:val="List Alpha 2"/>
    <w:basedOn w:val="List2"/>
    <w:rsid w:val="00541595"/>
    <w:pPr>
      <w:numPr>
        <w:numId w:val="8"/>
      </w:numPr>
    </w:pPr>
  </w:style>
  <w:style w:type="paragraph" w:styleId="List2">
    <w:name w:val="List 2"/>
    <w:basedOn w:val="BodyText"/>
    <w:rsid w:val="00541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5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5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595"/>
    <w:pPr>
      <w:numPr>
        <w:numId w:val="4"/>
      </w:numPr>
    </w:pPr>
  </w:style>
  <w:style w:type="paragraph" w:styleId="ListContinue2">
    <w:name w:val="List Continue 2"/>
    <w:basedOn w:val="List2"/>
    <w:rsid w:val="00541595"/>
    <w:pPr>
      <w:ind w:firstLine="0"/>
    </w:pPr>
  </w:style>
  <w:style w:type="paragraph" w:styleId="ListContinue3">
    <w:name w:val="List Continue 3"/>
    <w:basedOn w:val="List3"/>
    <w:rsid w:val="00541595"/>
    <w:pPr>
      <w:ind w:left="1021" w:firstLine="0"/>
    </w:pPr>
  </w:style>
  <w:style w:type="paragraph" w:styleId="ListContinue4">
    <w:name w:val="List Continue 4"/>
    <w:basedOn w:val="List4"/>
    <w:rsid w:val="00541595"/>
    <w:pPr>
      <w:ind w:firstLine="0"/>
    </w:pPr>
  </w:style>
  <w:style w:type="paragraph" w:styleId="ListContinue5">
    <w:name w:val="List Continue 5"/>
    <w:basedOn w:val="List5"/>
    <w:rsid w:val="00541595"/>
    <w:pPr>
      <w:ind w:firstLine="0"/>
    </w:pPr>
  </w:style>
  <w:style w:type="paragraph" w:styleId="ListNumber3">
    <w:name w:val="List Number 3"/>
    <w:basedOn w:val="List3"/>
    <w:rsid w:val="00541595"/>
    <w:pPr>
      <w:numPr>
        <w:numId w:val="5"/>
      </w:numPr>
    </w:pPr>
  </w:style>
  <w:style w:type="paragraph" w:styleId="ListNumber4">
    <w:name w:val="List Number 4"/>
    <w:basedOn w:val="List4"/>
    <w:rsid w:val="00541595"/>
    <w:pPr>
      <w:numPr>
        <w:numId w:val="6"/>
      </w:numPr>
    </w:pPr>
  </w:style>
  <w:style w:type="paragraph" w:styleId="ListNumber5">
    <w:name w:val="List Number 5"/>
    <w:basedOn w:val="List5"/>
    <w:rsid w:val="00541595"/>
    <w:pPr>
      <w:numPr>
        <w:numId w:val="7"/>
      </w:numPr>
    </w:pPr>
  </w:style>
  <w:style w:type="paragraph" w:styleId="BlockText">
    <w:name w:val="Block Text"/>
    <w:basedOn w:val="Normal"/>
    <w:rsid w:val="00541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595"/>
    <w:rPr>
      <w:sz w:val="16"/>
      <w:vertAlign w:val="superscript"/>
    </w:rPr>
  </w:style>
  <w:style w:type="character" w:customStyle="1" w:styleId="Symbols">
    <w:name w:val="Symbols"/>
    <w:basedOn w:val="DefaultParagraphFont"/>
    <w:rsid w:val="00541595"/>
    <w:rPr>
      <w:rFonts w:ascii="Symbol" w:hAnsi="Symbol"/>
    </w:rPr>
  </w:style>
  <w:style w:type="character" w:customStyle="1" w:styleId="MenuOptions">
    <w:name w:val="Menu Options"/>
    <w:basedOn w:val="DefaultParagraphFont"/>
    <w:rsid w:val="00541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595"/>
    <w:rPr>
      <w:b/>
    </w:rPr>
  </w:style>
  <w:style w:type="character" w:customStyle="1" w:styleId="Underlined">
    <w:name w:val="Underlined"/>
    <w:basedOn w:val="DefaultParagraphFont"/>
    <w:rsid w:val="00541595"/>
    <w:rPr>
      <w:u w:val="single"/>
    </w:rPr>
  </w:style>
  <w:style w:type="paragraph" w:customStyle="1" w:styleId="TableBodyTextRight">
    <w:name w:val="Table Body Text Right"/>
    <w:basedOn w:val="TableBodyText"/>
    <w:rsid w:val="00541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595"/>
    <w:rPr>
      <w:sz w:val="18"/>
    </w:rPr>
  </w:style>
  <w:style w:type="paragraph" w:customStyle="1" w:styleId="BodySmallRight">
    <w:name w:val="Body Small Right"/>
    <w:basedOn w:val="BodyTextRight"/>
    <w:rsid w:val="00541595"/>
    <w:rPr>
      <w:sz w:val="18"/>
      <w:szCs w:val="18"/>
    </w:rPr>
  </w:style>
  <w:style w:type="paragraph" w:customStyle="1" w:styleId="MarginEdition">
    <w:name w:val="Margin Edition"/>
    <w:basedOn w:val="MarginNote"/>
    <w:rsid w:val="00541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595"/>
    <w:rPr>
      <w:sz w:val="2"/>
      <w:szCs w:val="2"/>
    </w:rPr>
  </w:style>
  <w:style w:type="character" w:customStyle="1" w:styleId="Small">
    <w:name w:val="Small"/>
    <w:basedOn w:val="DefaultParagraphFont"/>
    <w:rsid w:val="00541595"/>
    <w:rPr>
      <w:sz w:val="16"/>
    </w:rPr>
  </w:style>
  <w:style w:type="paragraph" w:customStyle="1" w:styleId="WideTable">
    <w:name w:val="Wide Table"/>
    <w:basedOn w:val="Normal"/>
    <w:rsid w:val="00541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595"/>
  </w:style>
  <w:style w:type="paragraph" w:styleId="Quote">
    <w:name w:val="Quote"/>
    <w:basedOn w:val="Heading1"/>
    <w:link w:val="QuoteChar"/>
    <w:qFormat/>
    <w:rsid w:val="00541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595"/>
    <w:pPr>
      <w:pageBreakBefore/>
    </w:pPr>
  </w:style>
  <w:style w:type="paragraph" w:customStyle="1" w:styleId="Border">
    <w:name w:val="Border"/>
    <w:basedOn w:val="Normal"/>
    <w:qFormat/>
    <w:rsid w:val="00541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595"/>
    <w:rPr>
      <w:u w:val="single"/>
    </w:rPr>
  </w:style>
  <w:style w:type="character" w:customStyle="1" w:styleId="BoldandItalics">
    <w:name w:val="Bold and Italics"/>
    <w:qFormat/>
    <w:rsid w:val="00541595"/>
    <w:rPr>
      <w:b/>
      <w:i/>
      <w:u w:val="none"/>
    </w:rPr>
  </w:style>
  <w:style w:type="paragraph" w:styleId="BalloonText">
    <w:name w:val="Balloon Text"/>
    <w:basedOn w:val="Normal"/>
    <w:link w:val="BalloonTextChar"/>
    <w:rsid w:val="00541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5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7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3203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AMPMSY302 Recognise signs of emergency and notifiable animal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