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066" w:rsidP="003F20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AMPMSY302 Recognise signs of emergency and notifiable animal diseases</w:t>
      </w:r>
      <w:r>
        <w:fldChar w:fldCharType="end"/>
      </w:r>
    </w:p>
    <w:p w:rsidR="003F2066" w:rsidP="003F2066">
      <w:pPr>
        <w:pStyle w:val="Version"/>
        <w:sectPr w:rsidSect="00CE4E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E4E73" w:rsidP="00CE4E73">
      <w:pPr>
        <w:pStyle w:val="SuperHeading"/>
      </w:pPr>
      <w:r w:rsidRPr="00CE4E73">
        <w:t>Assessment Requirements for AMPMSY302 Recognise signs of emergency and notifiable animal diseases</w:t>
      </w:r>
    </w:p>
    <w:p w:rsidR="00000000" w:rsidRPr="00CE4E73" w:rsidP="00CE4E73">
      <w:pPr>
        <w:pStyle w:val="Heading1"/>
      </w:pPr>
      <w:bookmarkStart w:id="1" w:name="O_1265901"/>
      <w:bookmarkEnd w:id="1"/>
      <w:r w:rsidRPr="00CE4E7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E4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73">
            <w:pPr>
              <w:pStyle w:val="BodyTextBold"/>
              <w:rPr>
                <w:lang w:val="en-NZ"/>
              </w:rPr>
            </w:pPr>
            <w:r w:rsidRPr="00CE4E73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73">
            <w:pPr>
              <w:pStyle w:val="BodyTextBold"/>
              <w:rPr>
                <w:lang w:val="en-NZ"/>
              </w:rPr>
            </w:pPr>
            <w:r w:rsidRPr="00CE4E73">
              <w:t>Comments</w:t>
            </w:r>
          </w:p>
        </w:tc>
      </w:tr>
      <w:tr w:rsidTr="00CE4E7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E4E73">
            <w:pPr>
              <w:pStyle w:val="BodyText"/>
              <w:rPr>
                <w:lang w:val="en-NZ"/>
              </w:rPr>
            </w:pPr>
            <w:r w:rsidRPr="00CE4E73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E4E73" w:rsidP="00CE4E73">
            <w:pPr>
              <w:pStyle w:val="BodyText"/>
            </w:pPr>
            <w:r w:rsidRPr="00CE4E73">
              <w:t>This version released with AMP Australian Meat Processing Training Package Version 8.0.</w:t>
            </w:r>
          </w:p>
        </w:tc>
      </w:tr>
    </w:tbl>
    <w:p w:rsidR="00000000" w:rsidRPr="00CE4E73" w:rsidP="00CE4E73">
      <w:pPr>
        <w:pStyle w:val="BodyText"/>
      </w:pPr>
    </w:p>
    <w:p w:rsidR="00000000" w:rsidRPr="00CE4E73" w:rsidP="00CE4E73">
      <w:pPr>
        <w:pStyle w:val="AllowPageBreak"/>
      </w:pPr>
    </w:p>
    <w:p w:rsidR="00000000" w:rsidRPr="00CE4E73" w:rsidP="00CE4E73">
      <w:pPr>
        <w:pStyle w:val="Heading1"/>
      </w:pPr>
      <w:bookmarkStart w:id="2" w:name="O_1265902"/>
      <w:bookmarkEnd w:id="2"/>
      <w:r w:rsidRPr="00CE4E73">
        <w:t>Performance Evidence</w:t>
      </w:r>
    </w:p>
    <w:p w:rsidR="00000000" w:rsidRPr="00CE4E73" w:rsidP="003F2066">
      <w:pPr>
        <w:pStyle w:val="BodyText"/>
      </w:pPr>
      <w:r w:rsidRPr="00CE4E73">
        <w:t>An individual demonstrating competency must satisfy all of the elements and performance criteria in this unit.</w:t>
      </w:r>
    </w:p>
    <w:p w:rsidR="00000000" w:rsidRPr="00CE4E73" w:rsidP="003F2066">
      <w:pPr>
        <w:pStyle w:val="BodyText"/>
      </w:pPr>
      <w:r w:rsidRPr="00CE4E73">
        <w:t>There must be evidence that the individual has identified and described the process to report two suspect</w:t>
      </w:r>
      <w:r w:rsidRPr="00CE4E73">
        <w:t>ed emergency animal diseases (EAD), for at least one food animal species slaughtered or harvested legally in Australia for human or pet consumption.</w:t>
      </w:r>
    </w:p>
    <w:p w:rsidR="00000000" w:rsidRPr="00CE4E73" w:rsidP="003F2066">
      <w:pPr>
        <w:pStyle w:val="BodyText"/>
      </w:pPr>
      <w:r w:rsidRPr="00CE4E73">
        <w:t>For the species selected, the individual must have:</w:t>
      </w:r>
    </w:p>
    <w:p w:rsidR="00000000" w:rsidRPr="00CE4E73" w:rsidP="00CE4E73">
      <w:pPr>
        <w:pStyle w:val="ListBullet"/>
      </w:pPr>
      <w:r w:rsidRPr="00CE4E73">
        <w:t xml:space="preserve">identified the major EADs </w:t>
      </w:r>
    </w:p>
    <w:p w:rsidR="00000000" w:rsidRPr="00CE4E73" w:rsidP="00CE4E73">
      <w:pPr>
        <w:pStyle w:val="ListBullet"/>
      </w:pPr>
      <w:r w:rsidRPr="00CE4E73">
        <w:t>identified the signs of the EAD.</w:t>
      </w:r>
    </w:p>
    <w:p w:rsidR="00000000" w:rsidRPr="00CE4E73" w:rsidP="003F2066">
      <w:pPr>
        <w:pStyle w:val="BodyText"/>
      </w:pPr>
      <w:r w:rsidRPr="00CE4E73">
        <w:t>The individual must also have:</w:t>
      </w:r>
    </w:p>
    <w:p w:rsidR="00000000" w:rsidRPr="00CE4E73" w:rsidP="00CE4E73">
      <w:pPr>
        <w:pStyle w:val="ListBullet"/>
      </w:pPr>
      <w:r w:rsidRPr="00CE4E73">
        <w:t>outlined the reporting requirements for a suspected EAD</w:t>
      </w:r>
    </w:p>
    <w:p w:rsidR="00000000" w:rsidRPr="00CE4E73" w:rsidP="00CE4E73">
      <w:pPr>
        <w:pStyle w:val="ListBullet"/>
      </w:pPr>
      <w:r w:rsidRPr="00CE4E73">
        <w:t xml:space="preserve">outlined the steps to be taken by a meat processing workplace in the event of a major suspected EAD </w:t>
      </w:r>
    </w:p>
    <w:p w:rsidR="00000000" w:rsidRPr="00CE4E73" w:rsidP="00CE4E73">
      <w:pPr>
        <w:pStyle w:val="ListBullet"/>
      </w:pPr>
      <w:r w:rsidRPr="00CE4E73">
        <w:t>explained the steps to be taken by</w:t>
      </w:r>
      <w:r w:rsidRPr="00CE4E73">
        <w:t xml:space="preserve"> state/territory regulators to control an outbreak.</w:t>
      </w:r>
    </w:p>
    <w:p w:rsidR="00000000" w:rsidRPr="00CE4E73" w:rsidP="00CE4E73">
      <w:pPr>
        <w:pStyle w:val="AllowPageBreak"/>
      </w:pPr>
    </w:p>
    <w:p w:rsidR="00000000" w:rsidRPr="00CE4E73" w:rsidP="00CE4E73">
      <w:pPr>
        <w:pStyle w:val="Heading1"/>
      </w:pPr>
      <w:bookmarkStart w:id="3" w:name="O_1265903"/>
      <w:bookmarkEnd w:id="3"/>
      <w:r w:rsidRPr="00CE4E73">
        <w:t>Knowledge Evidence</w:t>
      </w:r>
    </w:p>
    <w:p w:rsidR="00000000" w:rsidRPr="00CE4E73" w:rsidP="003F2066">
      <w:pPr>
        <w:pStyle w:val="BodyText"/>
      </w:pPr>
      <w:r w:rsidRPr="00CE4E73">
        <w:t>An individual must be able to demonstrate the knowledge required to perform the tasks outlined in the elements and performance criteria of this unit. This includes kn</w:t>
      </w:r>
      <w:r w:rsidRPr="00CE4E73">
        <w:t>owledge of:</w:t>
      </w:r>
    </w:p>
    <w:p w:rsidR="00000000" w:rsidRPr="00CE4E73" w:rsidP="00CE4E73">
      <w:pPr>
        <w:pStyle w:val="ListBullet"/>
      </w:pPr>
      <w:r w:rsidRPr="00CE4E73">
        <w:t>the major EADs that affect food animal species groups, including:</w:t>
      </w:r>
    </w:p>
    <w:p w:rsidR="00000000" w:rsidRPr="00CE4E73" w:rsidP="00CE4E73">
      <w:pPr>
        <w:pStyle w:val="ListBullet2"/>
      </w:pPr>
      <w:r w:rsidRPr="00CE4E73">
        <w:t>foot and mouth disease (FMD)</w:t>
      </w:r>
    </w:p>
    <w:p w:rsidR="00000000" w:rsidRPr="00CE4E73" w:rsidP="00CE4E73">
      <w:pPr>
        <w:pStyle w:val="ListBullet2"/>
      </w:pPr>
      <w:r w:rsidRPr="00CE4E73">
        <w:t>bovine spongiform encephalopathy (BSE)</w:t>
      </w:r>
    </w:p>
    <w:p w:rsidR="00000000" w:rsidRPr="00CE4E73" w:rsidP="00CE4E73">
      <w:pPr>
        <w:pStyle w:val="ListBullet2"/>
      </w:pPr>
      <w:r w:rsidRPr="00CE4E73">
        <w:t>tuberculosis (TB)</w:t>
      </w:r>
    </w:p>
    <w:p w:rsidR="00000000" w:rsidRPr="00CE4E73" w:rsidP="00CE4E73">
      <w:pPr>
        <w:pStyle w:val="ListBullet2"/>
      </w:pPr>
      <w:r w:rsidRPr="00CE4E73">
        <w:t>African swine fever (ASF)</w:t>
      </w:r>
    </w:p>
    <w:p w:rsidR="00000000" w:rsidRPr="00CE4E73" w:rsidP="00CE4E73">
      <w:pPr>
        <w:pStyle w:val="ListBullet2"/>
      </w:pPr>
      <w:r w:rsidRPr="00CE4E73">
        <w:t>contagious pustular dermatitis (also known as scabby mouth)</w:t>
      </w:r>
    </w:p>
    <w:p w:rsidR="00000000" w:rsidRPr="00CE4E73" w:rsidP="00CE4E73">
      <w:pPr>
        <w:pStyle w:val="ListBullet2"/>
      </w:pPr>
      <w:r w:rsidRPr="00CE4E73">
        <w:t>Orf virus</w:t>
      </w:r>
    </w:p>
    <w:p w:rsidR="00000000" w:rsidRPr="00CE4E73" w:rsidP="00CE4E73">
      <w:pPr>
        <w:pStyle w:val="ListBullet2"/>
      </w:pPr>
      <w:r w:rsidRPr="00CE4E73">
        <w:t xml:space="preserve">Cysticercus bovis </w:t>
      </w:r>
    </w:p>
    <w:p w:rsidR="00000000" w:rsidRPr="00CE4E73" w:rsidP="00CE4E73">
      <w:pPr>
        <w:pStyle w:val="ListBullet2"/>
      </w:pPr>
      <w:r w:rsidRPr="00CE4E73">
        <w:t xml:space="preserve">anthrax </w:t>
      </w:r>
    </w:p>
    <w:p w:rsidR="00000000" w:rsidRPr="00CE4E73" w:rsidP="00CE4E73">
      <w:pPr>
        <w:pStyle w:val="ListBullet2"/>
      </w:pPr>
      <w:r w:rsidRPr="00CE4E73">
        <w:t>Japanese encephalitis</w:t>
      </w:r>
    </w:p>
    <w:p w:rsidR="00000000" w:rsidRPr="00CE4E73" w:rsidP="00CE4E73">
      <w:pPr>
        <w:pStyle w:val="ListBullet2"/>
      </w:pPr>
      <w:r w:rsidRPr="00CE4E73">
        <w:t>scrapie</w:t>
      </w:r>
    </w:p>
    <w:p w:rsidR="00000000" w:rsidRPr="00CE4E73" w:rsidP="00CE4E73">
      <w:pPr>
        <w:pStyle w:val="ListBullet2"/>
      </w:pPr>
      <w:r w:rsidRPr="00CE4E73">
        <w:t>transmissible gastroenteritis (TGE)</w:t>
      </w:r>
    </w:p>
    <w:p w:rsidR="00000000" w:rsidRPr="00CE4E73" w:rsidP="00CE4E73">
      <w:pPr>
        <w:pStyle w:val="ListBullet2"/>
      </w:pPr>
      <w:r w:rsidRPr="00CE4E73">
        <w:t>lumpy skin disease</w:t>
      </w:r>
    </w:p>
    <w:p w:rsidR="00000000" w:rsidRPr="00CE4E73" w:rsidP="00CE4E73">
      <w:pPr>
        <w:pStyle w:val="ListBullet2"/>
      </w:pPr>
      <w:r w:rsidRPr="00CE4E73">
        <w:t>any other disease relevant in the state/territory where work is carried out</w:t>
      </w:r>
    </w:p>
    <w:p w:rsidR="00000000" w:rsidRPr="00CE4E73" w:rsidP="00CE4E73">
      <w:pPr>
        <w:pStyle w:val="ListBullet"/>
      </w:pPr>
      <w:r w:rsidRPr="00CE4E73">
        <w:t>access to the state/territory emergency list of notifiab</w:t>
      </w:r>
      <w:r w:rsidRPr="00CE4E73">
        <w:t>le diseases</w:t>
      </w:r>
    </w:p>
    <w:p w:rsidR="00000000" w:rsidRPr="00CE4E73" w:rsidP="00CE4E73">
      <w:pPr>
        <w:pStyle w:val="ListBullet"/>
      </w:pPr>
      <w:r w:rsidRPr="00CE4E73">
        <w:t>the impact of EADs on the meat processing industry</w:t>
      </w:r>
    </w:p>
    <w:p w:rsidR="00000000" w:rsidRPr="00CE4E73" w:rsidP="00CE4E73">
      <w:pPr>
        <w:pStyle w:val="ListBullet"/>
      </w:pPr>
      <w:r w:rsidRPr="00CE4E73">
        <w:t>signs of EADs as they may be seen at post-mortem</w:t>
      </w:r>
    </w:p>
    <w:p w:rsidR="00000000" w:rsidRPr="00CE4E73" w:rsidP="00CE4E73">
      <w:pPr>
        <w:pStyle w:val="ListBullet"/>
      </w:pPr>
      <w:r w:rsidRPr="00CE4E73">
        <w:t>reporting requirements when an emergency disease is suspected in livestock or carcases</w:t>
      </w:r>
    </w:p>
    <w:p w:rsidR="00000000" w:rsidRPr="00CE4E73" w:rsidP="00CE4E73">
      <w:pPr>
        <w:pStyle w:val="ListBullet"/>
      </w:pPr>
      <w:r w:rsidRPr="00CE4E73">
        <w:t>steps to be taken by a meat processing workplace in the e</w:t>
      </w:r>
      <w:r w:rsidRPr="00CE4E73">
        <w:t>vent of a suspected outbreak of an emergency disease, and how they are to be implemented</w:t>
      </w:r>
    </w:p>
    <w:p w:rsidR="00000000" w:rsidRPr="00CE4E73" w:rsidP="00CE4E73">
      <w:pPr>
        <w:pStyle w:val="ListBullet"/>
      </w:pPr>
      <w:r w:rsidRPr="00CE4E73">
        <w:t>purpose of the national Emergency Animal Disease Response Agreement (EADRA)</w:t>
      </w:r>
    </w:p>
    <w:p w:rsidR="00000000" w:rsidRPr="00CE4E73" w:rsidP="00CE4E73">
      <w:pPr>
        <w:pStyle w:val="ListBullet"/>
      </w:pPr>
      <w:r w:rsidRPr="00CE4E73">
        <w:t>the Australian Veterinary Emergency Plan (AUSVETPLAN) and the role of regulators, companies</w:t>
      </w:r>
      <w:r w:rsidRPr="00CE4E73">
        <w:t xml:space="preserve"> and producers in the event of a suspected EAD</w:t>
      </w:r>
    </w:p>
    <w:p w:rsidR="00000000" w:rsidRPr="00CE4E73" w:rsidP="00CE4E73">
      <w:pPr>
        <w:pStyle w:val="ListBullet"/>
      </w:pPr>
      <w:r w:rsidRPr="00CE4E73">
        <w:t>reporting requirements when an EAD is suspected in animals or carcases</w:t>
      </w:r>
    </w:p>
    <w:p w:rsidR="00000000" w:rsidRPr="00CE4E73" w:rsidP="00CE4E73">
      <w:pPr>
        <w:pStyle w:val="ListBullet"/>
      </w:pPr>
      <w:r w:rsidRPr="00CE4E73">
        <w:t>the workplace EAD preparedness plan</w:t>
      </w:r>
    </w:p>
    <w:p w:rsidR="00000000" w:rsidRPr="00CE4E73" w:rsidP="00CE4E73">
      <w:pPr>
        <w:pStyle w:val="ListBullet"/>
      </w:pPr>
      <w:r w:rsidRPr="00CE4E73">
        <w:t>steps to be taken by state/territory regulators when there is a suspected outbreak of an EAD</w:t>
      </w:r>
    </w:p>
    <w:p w:rsidR="00000000" w:rsidRPr="00CE4E73" w:rsidP="00CE4E73">
      <w:pPr>
        <w:pStyle w:val="ListBullet"/>
      </w:pPr>
      <w:r w:rsidRPr="00CE4E73">
        <w:t>sources of current information and updates about EADs</w:t>
      </w:r>
    </w:p>
    <w:p w:rsidR="00000000" w:rsidRPr="00CE4E73" w:rsidP="00CE4E73">
      <w:pPr>
        <w:pStyle w:val="ListBullet"/>
      </w:pPr>
      <w:r w:rsidRPr="00CE4E73">
        <w:t>key information about EAD responses for the meat processing industry, included in AUSVETPLAN manuals.</w:t>
      </w:r>
    </w:p>
    <w:p w:rsidR="00000000" w:rsidRPr="00CE4E73" w:rsidP="00CE4E73">
      <w:pPr>
        <w:pStyle w:val="AllowPageBreak"/>
      </w:pPr>
    </w:p>
    <w:p w:rsidR="00000000" w:rsidRPr="00CE4E73" w:rsidP="00CE4E73">
      <w:pPr>
        <w:pStyle w:val="Heading1"/>
      </w:pPr>
      <w:bookmarkStart w:id="4" w:name="O_1265904"/>
      <w:bookmarkEnd w:id="4"/>
      <w:r w:rsidRPr="00CE4E73">
        <w:t>Assessment Conditions</w:t>
      </w:r>
    </w:p>
    <w:p w:rsidR="00000000" w:rsidRPr="00CE4E73" w:rsidP="003F2066">
      <w:pPr>
        <w:pStyle w:val="BodyText"/>
      </w:pPr>
      <w:r w:rsidRPr="00CE4E73">
        <w:t>Assessment of the skills in this unit of competency must ta</w:t>
      </w:r>
      <w:r w:rsidRPr="00CE4E73">
        <w:t>ke place under the following conditions:</w:t>
      </w:r>
    </w:p>
    <w:p w:rsidR="00000000" w:rsidRPr="00CE4E73" w:rsidP="00CE4E73">
      <w:pPr>
        <w:pStyle w:val="ListBullet"/>
      </w:pPr>
      <w:r w:rsidRPr="00CE4E73">
        <w:t>physical conditions:</w:t>
      </w:r>
    </w:p>
    <w:p w:rsidR="00000000" w:rsidRPr="00CE4E73" w:rsidP="00CE4E73">
      <w:pPr>
        <w:pStyle w:val="ListBullet2"/>
      </w:pPr>
      <w:r w:rsidRPr="00CE4E73">
        <w:t>skills must be demonstrated in a meat processing workplace or an appropriately equipped training environment</w:t>
      </w:r>
    </w:p>
    <w:p w:rsidR="00000000" w:rsidRPr="00CE4E73" w:rsidP="00CE4E73">
      <w:pPr>
        <w:pStyle w:val="ListBullet"/>
      </w:pPr>
      <w:r w:rsidRPr="00CE4E73">
        <w:t>resources:</w:t>
      </w:r>
    </w:p>
    <w:p w:rsidR="00000000" w:rsidRPr="00CE4E73" w:rsidP="00CE4E73">
      <w:pPr>
        <w:pStyle w:val="ListBullet2"/>
      </w:pPr>
      <w:r w:rsidRPr="00CE4E73">
        <w:t>images, diagrams and/or models of food animals and/or carcases display</w:t>
      </w:r>
      <w:r w:rsidRPr="00CE4E73">
        <w:t>ing signs of EADs</w:t>
      </w:r>
    </w:p>
    <w:p w:rsidR="00000000" w:rsidRPr="00CE4E73" w:rsidP="00CE4E73">
      <w:pPr>
        <w:pStyle w:val="ListBullet2"/>
      </w:pPr>
      <w:r w:rsidRPr="00CE4E73">
        <w:t>access to EAD legislation, employer requirements for EADs, AUSVETPLAN summary and guidance materials</w:t>
      </w:r>
    </w:p>
    <w:p w:rsidR="00000000" w:rsidRPr="00CE4E73" w:rsidP="00CE4E73">
      <w:pPr>
        <w:pStyle w:val="ListBullet2"/>
      </w:pPr>
      <w:r w:rsidRPr="00CE4E73">
        <w:t>meat processing workplace procedures for responding to EADs.</w:t>
      </w:r>
    </w:p>
    <w:p w:rsidR="00000000" w:rsidRPr="00CE4E73" w:rsidP="003F2066">
      <w:pPr>
        <w:pStyle w:val="BodyText"/>
      </w:pPr>
      <w:r w:rsidRPr="00CE4E73">
        <w:t>Assessors of this unit must satisfy the requirements for assessors in applicable vocational education and training legislation, frameworks and/or standards.</w:t>
      </w:r>
    </w:p>
    <w:p w:rsidR="00000000" w:rsidRPr="00CE4E73" w:rsidP="00CE4E73">
      <w:pPr>
        <w:pStyle w:val="Heading1"/>
      </w:pPr>
      <w:bookmarkStart w:id="5" w:name="O_1265907"/>
      <w:bookmarkEnd w:id="5"/>
      <w:r w:rsidRPr="00CE4E73">
        <w:t>Links</w:t>
      </w:r>
    </w:p>
    <w:p w:rsidR="00000000" w:rsidRPr="00CE4E73" w:rsidP="003F2066">
      <w:pPr>
        <w:pStyle w:val="BodyText"/>
      </w:pPr>
      <w:r w:rsidRPr="00CE4E73">
        <w:t>Companion Volumes, including Implementation Guides, are available at VETNe</w:t>
      </w:r>
      <w:r w:rsidRPr="00CE4E73">
        <w:t xml:space="preserve">t: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B5FE5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CE4E73" w:rsidP="00CE4E73"/>
    <w:sectPr w:rsidSect="00CE4E7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73" w:rsidRPr="003F2066" w:rsidP="003F20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66" w:rsidP="00CE4E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066" w:rsidP="00CE4E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3F2066" w:rsidP="00CE4E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E4E73" w:rsidRPr="003F2066" w:rsidP="003F20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4E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066" w:rsidRPr="002D2AF8" w:rsidP="00CE4E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AMPMSY302 Recognise signs of emergency and notifiable animal diseases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3F2066" w:rsidP="00CE4E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34CDA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59808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53EFF4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4E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E4E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E4E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E4E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E4E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E4E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E4E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E4E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E4E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E4E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E4E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E4E73"/>
  </w:style>
  <w:style w:type="character" w:customStyle="1" w:styleId="Heading1Char">
    <w:name w:val="Heading 1 Char"/>
    <w:basedOn w:val="DefaultParagraphFont"/>
    <w:link w:val="Heading1"/>
    <w:rsid w:val="00CE4E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E4E7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E4E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E4E73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E4E7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E4E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E4E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E4E73"/>
    <w:rPr>
      <w:b/>
    </w:rPr>
  </w:style>
  <w:style w:type="character" w:customStyle="1" w:styleId="Heading2Char">
    <w:name w:val="Heading 2 Char"/>
    <w:basedOn w:val="DefaultParagraphFont"/>
    <w:link w:val="Heading2"/>
    <w:rsid w:val="00CE4E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E4E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E4E7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E4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E4E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E4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E4E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E4E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E4E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E4E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E4E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E4E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E4E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E4E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E4E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E4E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E4E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E4E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E4E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E4E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E4E73"/>
    <w:rPr>
      <w:b/>
      <w:spacing w:val="0"/>
    </w:rPr>
  </w:style>
  <w:style w:type="paragraph" w:customStyle="1" w:styleId="SuperTitle">
    <w:name w:val="SuperTitle"/>
    <w:basedOn w:val="Title"/>
    <w:rsid w:val="00CE4E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E4E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E4E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E4E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E4E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E4E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E4E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E4E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E4E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E4E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E4E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E4E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E4E73"/>
    <w:rPr>
      <w:i/>
    </w:rPr>
  </w:style>
  <w:style w:type="paragraph" w:styleId="Caption">
    <w:name w:val="caption"/>
    <w:basedOn w:val="BodyText"/>
    <w:next w:val="Normal"/>
    <w:qFormat/>
    <w:rsid w:val="00CE4E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E4E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E4E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E4E73"/>
  </w:style>
  <w:style w:type="paragraph" w:styleId="TableofFigures">
    <w:name w:val="table of figures"/>
    <w:basedOn w:val="Normal"/>
    <w:next w:val="Normal"/>
    <w:semiHidden/>
    <w:rsid w:val="00CE4E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E4E7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E4E73"/>
    <w:rPr>
      <w:rFonts w:ascii="Wingdings" w:hAnsi="Wingdings"/>
    </w:rPr>
  </w:style>
  <w:style w:type="paragraph" w:customStyle="1" w:styleId="TableHeading">
    <w:name w:val="Table Heading"/>
    <w:basedOn w:val="HeadingBase"/>
    <w:rsid w:val="00CE4E7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E4E73"/>
    <w:rPr>
      <w:color w:val="0033CC"/>
      <w:u w:val="none"/>
    </w:rPr>
  </w:style>
  <w:style w:type="paragraph" w:customStyle="1" w:styleId="BodyTextRight">
    <w:name w:val="Body Text Right"/>
    <w:basedOn w:val="BodyText"/>
    <w:rsid w:val="00CE4E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E4E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E4E7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E4E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E4E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E4E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E4E73"/>
    <w:rPr>
      <w:sz w:val="32"/>
    </w:rPr>
  </w:style>
  <w:style w:type="paragraph" w:customStyle="1" w:styleId="HeadingProcedure">
    <w:name w:val="Heading Procedure"/>
    <w:basedOn w:val="HeadingBase"/>
    <w:next w:val="Normal"/>
    <w:rsid w:val="00CE4E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E4E73"/>
    <w:pPr>
      <w:spacing w:before="60" w:after="60"/>
    </w:pPr>
  </w:style>
  <w:style w:type="paragraph" w:styleId="ListContinue">
    <w:name w:val="List Continue"/>
    <w:basedOn w:val="List"/>
    <w:rsid w:val="00CE4E73"/>
    <w:pPr>
      <w:ind w:firstLine="0"/>
    </w:pPr>
  </w:style>
  <w:style w:type="paragraph" w:customStyle="1" w:styleId="ListNote">
    <w:name w:val="List Note"/>
    <w:basedOn w:val="List"/>
    <w:rsid w:val="00CE4E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E4E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E4E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E4E73"/>
    <w:rPr>
      <w:rFonts w:ascii="Courier New" w:hAnsi="Courier New"/>
    </w:rPr>
  </w:style>
  <w:style w:type="paragraph" w:customStyle="1" w:styleId="NoteBullet">
    <w:name w:val="Note Bullet"/>
    <w:basedOn w:val="Note"/>
    <w:rsid w:val="00CE4E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E4E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E4E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E4E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E4E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E4E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E4E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E4E73"/>
    <w:rPr>
      <w:b/>
      <w:smallCaps/>
    </w:rPr>
  </w:style>
  <w:style w:type="paragraph" w:customStyle="1" w:styleId="TableListNumber">
    <w:name w:val="Table List Number"/>
    <w:basedOn w:val="ListNumber"/>
    <w:rsid w:val="00CE4E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E4E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E4E73"/>
    <w:pPr>
      <w:numPr>
        <w:numId w:val="9"/>
      </w:numPr>
    </w:pPr>
  </w:style>
  <w:style w:type="paragraph" w:customStyle="1" w:styleId="ListAlpha2">
    <w:name w:val="List Alpha 2"/>
    <w:basedOn w:val="List2"/>
    <w:rsid w:val="00CE4E73"/>
    <w:pPr>
      <w:numPr>
        <w:numId w:val="8"/>
      </w:numPr>
    </w:pPr>
  </w:style>
  <w:style w:type="paragraph" w:styleId="List2">
    <w:name w:val="List 2"/>
    <w:basedOn w:val="BodyText"/>
    <w:rsid w:val="00CE4E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E4E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E4E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E4E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E4E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E4E7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E4E73"/>
    <w:pPr>
      <w:numPr>
        <w:numId w:val="4"/>
      </w:numPr>
    </w:pPr>
  </w:style>
  <w:style w:type="paragraph" w:styleId="ListContinue2">
    <w:name w:val="List Continue 2"/>
    <w:basedOn w:val="List2"/>
    <w:rsid w:val="00CE4E73"/>
    <w:pPr>
      <w:ind w:firstLine="0"/>
    </w:pPr>
  </w:style>
  <w:style w:type="paragraph" w:styleId="ListContinue3">
    <w:name w:val="List Continue 3"/>
    <w:basedOn w:val="List3"/>
    <w:rsid w:val="00CE4E73"/>
    <w:pPr>
      <w:ind w:left="1021" w:firstLine="0"/>
    </w:pPr>
  </w:style>
  <w:style w:type="paragraph" w:styleId="ListContinue4">
    <w:name w:val="List Continue 4"/>
    <w:basedOn w:val="List4"/>
    <w:rsid w:val="00CE4E73"/>
    <w:pPr>
      <w:ind w:firstLine="0"/>
    </w:pPr>
  </w:style>
  <w:style w:type="paragraph" w:styleId="ListContinue5">
    <w:name w:val="List Continue 5"/>
    <w:basedOn w:val="List5"/>
    <w:rsid w:val="00CE4E73"/>
    <w:pPr>
      <w:ind w:firstLine="0"/>
    </w:pPr>
  </w:style>
  <w:style w:type="paragraph" w:styleId="ListNumber3">
    <w:name w:val="List Number 3"/>
    <w:basedOn w:val="List3"/>
    <w:rsid w:val="00CE4E73"/>
    <w:pPr>
      <w:numPr>
        <w:numId w:val="5"/>
      </w:numPr>
    </w:pPr>
  </w:style>
  <w:style w:type="paragraph" w:styleId="ListNumber4">
    <w:name w:val="List Number 4"/>
    <w:basedOn w:val="List4"/>
    <w:rsid w:val="00CE4E73"/>
    <w:pPr>
      <w:numPr>
        <w:numId w:val="6"/>
      </w:numPr>
    </w:pPr>
  </w:style>
  <w:style w:type="paragraph" w:styleId="ListNumber5">
    <w:name w:val="List Number 5"/>
    <w:basedOn w:val="List5"/>
    <w:rsid w:val="00CE4E73"/>
    <w:pPr>
      <w:numPr>
        <w:numId w:val="7"/>
      </w:numPr>
    </w:pPr>
  </w:style>
  <w:style w:type="paragraph" w:styleId="BlockText">
    <w:name w:val="Block Text"/>
    <w:basedOn w:val="Normal"/>
    <w:rsid w:val="00CE4E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E4E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E4E73"/>
    <w:rPr>
      <w:sz w:val="16"/>
      <w:vertAlign w:val="superscript"/>
    </w:rPr>
  </w:style>
  <w:style w:type="character" w:customStyle="1" w:styleId="Symbols">
    <w:name w:val="Symbols"/>
    <w:basedOn w:val="DefaultParagraphFont"/>
    <w:rsid w:val="00CE4E73"/>
    <w:rPr>
      <w:rFonts w:ascii="Symbol" w:hAnsi="Symbol"/>
    </w:rPr>
  </w:style>
  <w:style w:type="character" w:customStyle="1" w:styleId="MenuOptions">
    <w:name w:val="Menu Options"/>
    <w:basedOn w:val="DefaultParagraphFont"/>
    <w:rsid w:val="00CE4E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E4E73"/>
    <w:rPr>
      <w:b/>
    </w:rPr>
  </w:style>
  <w:style w:type="character" w:customStyle="1" w:styleId="Underlined">
    <w:name w:val="Underlined"/>
    <w:basedOn w:val="DefaultParagraphFont"/>
    <w:rsid w:val="00CE4E73"/>
    <w:rPr>
      <w:u w:val="single"/>
    </w:rPr>
  </w:style>
  <w:style w:type="paragraph" w:customStyle="1" w:styleId="TableBodyTextRight">
    <w:name w:val="Table Body Text Right"/>
    <w:basedOn w:val="TableBodyText"/>
    <w:rsid w:val="00CE4E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E4E73"/>
    <w:rPr>
      <w:sz w:val="18"/>
    </w:rPr>
  </w:style>
  <w:style w:type="paragraph" w:customStyle="1" w:styleId="BodySmallRight">
    <w:name w:val="Body Small Right"/>
    <w:basedOn w:val="BodyTextRight"/>
    <w:rsid w:val="00CE4E73"/>
    <w:rPr>
      <w:sz w:val="18"/>
      <w:szCs w:val="18"/>
    </w:rPr>
  </w:style>
  <w:style w:type="paragraph" w:customStyle="1" w:styleId="MarginEdition">
    <w:name w:val="Margin Edition"/>
    <w:basedOn w:val="MarginNote"/>
    <w:rsid w:val="00CE4E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E4E73"/>
    <w:rPr>
      <w:sz w:val="2"/>
      <w:szCs w:val="2"/>
    </w:rPr>
  </w:style>
  <w:style w:type="character" w:customStyle="1" w:styleId="Small">
    <w:name w:val="Small"/>
    <w:basedOn w:val="DefaultParagraphFont"/>
    <w:rsid w:val="00CE4E73"/>
    <w:rPr>
      <w:sz w:val="16"/>
    </w:rPr>
  </w:style>
  <w:style w:type="paragraph" w:customStyle="1" w:styleId="WideTable">
    <w:name w:val="Wide Table"/>
    <w:basedOn w:val="Normal"/>
    <w:rsid w:val="00CE4E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E4E73"/>
  </w:style>
  <w:style w:type="paragraph" w:styleId="Quote">
    <w:name w:val="Quote"/>
    <w:basedOn w:val="Heading1"/>
    <w:link w:val="QuoteChar"/>
    <w:qFormat/>
    <w:rsid w:val="00CE4E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E4E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E4E73"/>
    <w:pPr>
      <w:pageBreakBefore/>
    </w:pPr>
  </w:style>
  <w:style w:type="paragraph" w:customStyle="1" w:styleId="Border">
    <w:name w:val="Border"/>
    <w:basedOn w:val="Normal"/>
    <w:qFormat/>
    <w:rsid w:val="00CE4E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E4E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4E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4E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E4E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E4E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E4E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E4E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E4E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E4E73"/>
    <w:rPr>
      <w:u w:val="single"/>
    </w:rPr>
  </w:style>
  <w:style w:type="character" w:customStyle="1" w:styleId="BoldandItalics">
    <w:name w:val="Bold and Italics"/>
    <w:qFormat/>
    <w:rsid w:val="00CE4E73"/>
    <w:rPr>
      <w:b/>
      <w:i/>
      <w:u w:val="none"/>
    </w:rPr>
  </w:style>
  <w:style w:type="paragraph" w:styleId="BalloonText">
    <w:name w:val="Balloon Text"/>
    <w:basedOn w:val="Normal"/>
    <w:link w:val="BalloonTextChar"/>
    <w:rsid w:val="00CE4E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E4E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E4E7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E4E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E4E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E4E7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E4E7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F20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527</Words>
  <Characters>3210</Characters>
  <Application>Microsoft Office Word</Application>
  <DocSecurity>0</DocSecurity>
  <Lines>86</Lines>
  <Paragraphs>67</Paragraphs>
  <ScaleCrop>false</ScaleCrop>
  <Company>Author-it Software Corporation Ltd.</Company>
  <LinksUpToDate>false</LinksUpToDate>
  <CharactersWithSpaces>3670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AMPMSY302 Recognise signs of emergency and notifiable animal diseases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2023-01-24T11:58:00Z</dcterms:created>
  <dcterms:modified xsi:type="dcterms:W3CDTF">2023-01-24T11:58:00Z</dcterms:modified>
</cp:coreProperties>
</file>