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B30B6" w:rsidP="000B30B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AMPGAM303 Use firearms to safely and humanely harvest wild game</w:t>
      </w:r>
      <w:r>
        <w:fldChar w:fldCharType="end"/>
      </w:r>
    </w:p>
    <w:p w:rsidR="000B30B6" w:rsidP="000B30B6">
      <w:pPr>
        <w:pStyle w:val="Version"/>
        <w:sectPr w:rsidSect="00C56D1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56D1E" w:rsidP="00C56D1E">
      <w:pPr>
        <w:pStyle w:val="SuperHeading"/>
      </w:pPr>
      <w:r w:rsidRPr="00C56D1E">
        <w:t>AMPGAM303 Use firearms to safely and humanely harvest wild game</w:t>
      </w:r>
    </w:p>
    <w:p w:rsidR="00000000" w:rsidRPr="00C56D1E" w:rsidP="00C56D1E">
      <w:pPr>
        <w:pStyle w:val="Heading1"/>
      </w:pPr>
      <w:bookmarkStart w:id="1" w:name="O_1259798"/>
      <w:bookmarkEnd w:id="1"/>
      <w:r w:rsidRPr="00C56D1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C56D1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6D1E">
            <w:pPr>
              <w:pStyle w:val="BodyTextBold"/>
              <w:rPr>
                <w:lang w:val="en-NZ"/>
              </w:rPr>
            </w:pPr>
            <w:r w:rsidRPr="00C56D1E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6D1E">
            <w:pPr>
              <w:pStyle w:val="BodyTextBold"/>
              <w:rPr>
                <w:lang w:val="en-NZ"/>
              </w:rPr>
            </w:pPr>
            <w:r w:rsidRPr="00C56D1E">
              <w:t>Comments</w:t>
            </w:r>
          </w:p>
        </w:tc>
      </w:tr>
      <w:tr w:rsidTr="00C56D1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6D1E">
            <w:pPr>
              <w:pStyle w:val="BodyText"/>
              <w:rPr>
                <w:lang w:val="en-NZ"/>
              </w:rPr>
            </w:pPr>
            <w:r w:rsidRPr="00C56D1E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6D1E" w:rsidP="00C56D1E">
            <w:pPr>
              <w:pStyle w:val="BodyText"/>
            </w:pPr>
            <w:r w:rsidRPr="00C56D1E">
              <w:t>This version released with AMP Australian Meat Processing Training Package Version 8.0.</w:t>
            </w:r>
          </w:p>
        </w:tc>
      </w:tr>
    </w:tbl>
    <w:p w:rsidR="00000000" w:rsidRPr="00C56D1E" w:rsidP="00C56D1E">
      <w:pPr>
        <w:pStyle w:val="BodyText"/>
      </w:pPr>
    </w:p>
    <w:p w:rsidR="00000000" w:rsidRPr="00C56D1E" w:rsidP="00C56D1E">
      <w:pPr>
        <w:pStyle w:val="AllowPageBreak"/>
      </w:pPr>
    </w:p>
    <w:p w:rsidR="00000000" w:rsidRPr="00C56D1E" w:rsidP="00C56D1E">
      <w:pPr>
        <w:pStyle w:val="Heading1"/>
      </w:pPr>
      <w:bookmarkStart w:id="2" w:name="O_1259799"/>
      <w:bookmarkEnd w:id="2"/>
      <w:r w:rsidRPr="00C56D1E">
        <w:t>Application</w:t>
      </w:r>
    </w:p>
    <w:p w:rsidR="00000000" w:rsidRPr="00C56D1E" w:rsidP="000B30B6">
      <w:pPr>
        <w:pStyle w:val="BodyText"/>
      </w:pPr>
      <w:r w:rsidRPr="00C56D1E">
        <w:t xml:space="preserve">This unit describes the skills and knowledge required to harvest wild game animals humanely following animal welfare standards. </w:t>
      </w:r>
    </w:p>
    <w:p w:rsidR="00000000" w:rsidRPr="00C56D1E" w:rsidP="000B30B6">
      <w:pPr>
        <w:pStyle w:val="BodyText"/>
      </w:pPr>
      <w:r w:rsidRPr="00C56D1E">
        <w:t>This unit applies to individuals who harvest wild game in the field.</w:t>
      </w:r>
    </w:p>
    <w:p w:rsidR="00000000" w:rsidRPr="00C56D1E" w:rsidP="000B30B6">
      <w:pPr>
        <w:pStyle w:val="BodyText"/>
      </w:pPr>
      <w:r w:rsidRPr="00C56D1E">
        <w:t>All work must be carried out to comply with workplace proc</w:t>
      </w:r>
      <w:r w:rsidRPr="00C56D1E">
        <w:t>edures, according to state/territory health and safety and animal welfare regulations, legislation and standards that apply to the workplace.</w:t>
      </w:r>
    </w:p>
    <w:p w:rsidR="00000000" w:rsidRPr="00C56D1E" w:rsidP="000B30B6">
      <w:pPr>
        <w:pStyle w:val="BodyText"/>
      </w:pPr>
      <w:r w:rsidRPr="00C56D1E">
        <w:t xml:space="preserve">Individuals undertaking this unit must hold a current firearms/shooters licence. Other legislative and regulatory </w:t>
      </w:r>
      <w:r w:rsidRPr="00C56D1E">
        <w:t>requirements also apply to wild game harvesting and are enforced through state/territory jurisdictions. Users must check with the relevant regulatory authority before delivery.</w:t>
      </w:r>
    </w:p>
    <w:p w:rsidR="00000000" w:rsidRPr="00C56D1E" w:rsidP="00C56D1E">
      <w:pPr>
        <w:pStyle w:val="Heading1"/>
      </w:pPr>
      <w:bookmarkStart w:id="3" w:name="O_1259800"/>
      <w:bookmarkEnd w:id="3"/>
      <w:r w:rsidRPr="00C56D1E">
        <w:t>Pre-requisite Unit</w:t>
      </w:r>
    </w:p>
    <w:p w:rsidR="00000000" w:rsidRPr="00C56D1E" w:rsidP="000B30B6">
      <w:pPr>
        <w:pStyle w:val="BodyText"/>
      </w:pPr>
      <w:r w:rsidRPr="00C56D1E">
        <w:t>Nil</w:t>
      </w:r>
    </w:p>
    <w:p w:rsidR="00000000" w:rsidRPr="00C56D1E" w:rsidP="00C56D1E">
      <w:pPr>
        <w:pStyle w:val="Heading1"/>
      </w:pPr>
      <w:bookmarkStart w:id="4" w:name="O_1259802"/>
      <w:bookmarkEnd w:id="4"/>
      <w:r w:rsidRPr="00C56D1E">
        <w:t>Unit Sector</w:t>
      </w:r>
    </w:p>
    <w:p w:rsidR="00000000" w:rsidRPr="00C56D1E" w:rsidP="000B30B6">
      <w:pPr>
        <w:pStyle w:val="BodyText"/>
      </w:pPr>
      <w:r w:rsidRPr="00C56D1E">
        <w:t>Wild G</w:t>
      </w:r>
      <w:r w:rsidRPr="00C56D1E">
        <w:t>ame (GAM)</w:t>
      </w:r>
    </w:p>
    <w:p w:rsidR="00000000" w:rsidRPr="00C56D1E" w:rsidP="00C56D1E">
      <w:pPr>
        <w:pStyle w:val="Heading1"/>
      </w:pPr>
      <w:bookmarkStart w:id="5" w:name="O_1259803"/>
      <w:bookmarkEnd w:id="5"/>
      <w:r w:rsidRPr="00C56D1E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B30B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6D1E">
            <w:pPr>
              <w:pStyle w:val="BodyTextBold"/>
              <w:rPr>
                <w:lang w:val="en-NZ"/>
              </w:rPr>
            </w:pPr>
            <w:r w:rsidRPr="00C56D1E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6D1E">
            <w:pPr>
              <w:pStyle w:val="BodyTextBold"/>
              <w:rPr>
                <w:lang w:val="en-NZ"/>
              </w:rPr>
            </w:pPr>
            <w:r w:rsidRPr="00C56D1E">
              <w:t>Performance Criteria</w:t>
            </w:r>
          </w:p>
        </w:tc>
      </w:tr>
      <w:tr w:rsidTr="000B30B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6D1E" w:rsidP="00C56D1E">
            <w:pPr>
              <w:pStyle w:val="BodyText"/>
            </w:pPr>
            <w:r w:rsidRPr="00C56D1E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6D1E">
            <w:pPr>
              <w:pStyle w:val="BodyText"/>
              <w:rPr>
                <w:lang w:val="en-NZ"/>
              </w:rPr>
            </w:pPr>
            <w:r w:rsidRPr="00C56D1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B30B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6D1E">
            <w:pPr>
              <w:pStyle w:val="BodyText"/>
              <w:rPr>
                <w:lang w:val="en-NZ"/>
              </w:rPr>
            </w:pPr>
            <w:r w:rsidRPr="00C56D1E">
              <w:t>1. Plan harvesting of</w:t>
            </w:r>
            <w:r w:rsidRPr="00C56D1E">
              <w:t xml:space="preserve"> wild game animals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6D1E" w:rsidP="00C56D1E">
            <w:pPr>
              <w:pStyle w:val="BodyText"/>
            </w:pPr>
            <w:r w:rsidRPr="00C56D1E">
              <w:t>1.1 Confirm anatomy and physical features of target animal, including location of vulnerable organs of target animal</w:t>
            </w:r>
          </w:p>
          <w:p w:rsidR="00000000" w:rsidRPr="00C56D1E" w:rsidP="00C56D1E">
            <w:pPr>
              <w:pStyle w:val="BodyText"/>
            </w:pPr>
            <w:r w:rsidRPr="00C56D1E">
              <w:t>1.2 Identify location of habitats, habits and range of movements of target animal</w:t>
            </w:r>
          </w:p>
          <w:p w:rsidR="00000000" w:rsidRPr="00C56D1E" w:rsidP="00C56D1E">
            <w:pPr>
              <w:pStyle w:val="BodyText"/>
            </w:pPr>
            <w:r w:rsidRPr="00C56D1E">
              <w:t>1.3 Determine timing of the harvest ba</w:t>
            </w:r>
            <w:r w:rsidRPr="00C56D1E">
              <w:t>sed on the activity patterns of the target animal</w:t>
            </w:r>
          </w:p>
          <w:p w:rsidR="00000000" w:rsidRPr="00C56D1E" w:rsidP="00C56D1E">
            <w:pPr>
              <w:pStyle w:val="BodyText"/>
            </w:pPr>
            <w:r w:rsidRPr="00C56D1E">
              <w:t>1.4 Identify hazards associated with the harvest, and control risks according to workplace health and safety standards</w:t>
            </w:r>
          </w:p>
          <w:p w:rsidR="00000000" w:rsidRPr="00C56D1E" w:rsidP="00C56D1E">
            <w:pPr>
              <w:pStyle w:val="BodyText"/>
            </w:pPr>
            <w:r w:rsidRPr="00C56D1E">
              <w:t>1.5 Identify environmental and public safety risks associated with the harvest</w:t>
            </w:r>
          </w:p>
          <w:p w:rsidR="00000000" w:rsidP="00C56D1E">
            <w:pPr>
              <w:pStyle w:val="BodyText"/>
              <w:rPr>
                <w:lang w:val="en-NZ"/>
              </w:rPr>
            </w:pPr>
            <w:r w:rsidRPr="00C56D1E">
              <w:t>1.6 Identify animal welfare guidelines and ensure they are followed during harvest</w:t>
            </w:r>
          </w:p>
        </w:tc>
      </w:tr>
      <w:tr w:rsidTr="000B30B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6D1E">
            <w:pPr>
              <w:pStyle w:val="BodyText"/>
              <w:rPr>
                <w:lang w:val="en-NZ"/>
              </w:rPr>
            </w:pPr>
            <w:r w:rsidRPr="00C56D1E">
              <w:t>2. Prepare for the harvesting 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6D1E" w:rsidP="00C56D1E">
            <w:pPr>
              <w:pStyle w:val="BodyText"/>
            </w:pPr>
            <w:r w:rsidRPr="00C56D1E">
              <w:t>2.1 Determine location and boundaries for the harvest according to the animal management plan</w:t>
            </w:r>
          </w:p>
          <w:p w:rsidR="00000000" w:rsidRPr="00C56D1E" w:rsidP="00C56D1E">
            <w:pPr>
              <w:pStyle w:val="BodyText"/>
            </w:pPr>
            <w:r w:rsidRPr="00C56D1E">
              <w:t>2.2 Check time and duration of the ha</w:t>
            </w:r>
            <w:r w:rsidRPr="00C56D1E">
              <w:t>rvest and notify relevant personnel, where required</w:t>
            </w:r>
          </w:p>
          <w:p w:rsidR="00000000" w:rsidRPr="00C56D1E" w:rsidP="00C56D1E">
            <w:pPr>
              <w:pStyle w:val="BodyText"/>
            </w:pPr>
            <w:r w:rsidRPr="00C56D1E">
              <w:t>2.3 Take precautions to minimise hazards and risks associated with the harvest according to workplace health and safety standards</w:t>
            </w:r>
          </w:p>
          <w:p w:rsidR="00000000" w:rsidRPr="00C56D1E" w:rsidP="00C56D1E">
            <w:pPr>
              <w:pStyle w:val="BodyText"/>
            </w:pPr>
            <w:r w:rsidRPr="00C56D1E">
              <w:t>2.4 Take precautions to minimise environmental risks associated with the h</w:t>
            </w:r>
            <w:r w:rsidRPr="00C56D1E">
              <w:t>arvest</w:t>
            </w:r>
          </w:p>
          <w:p w:rsidR="00000000" w:rsidRPr="00C56D1E" w:rsidP="00C56D1E">
            <w:pPr>
              <w:pStyle w:val="BodyText"/>
            </w:pPr>
            <w:r w:rsidRPr="00C56D1E">
              <w:t>2.5 Confirm firearm licences, harvesting permits or exemptions as current according to statutory requirements</w:t>
            </w:r>
          </w:p>
          <w:p w:rsidR="00000000" w:rsidRPr="00C56D1E" w:rsidP="00C56D1E">
            <w:pPr>
              <w:pStyle w:val="BodyText"/>
            </w:pPr>
            <w:r w:rsidRPr="00C56D1E">
              <w:t>2.6 Select firearm and ammunition types to comply with those recommended for the target animal according to regulatory requirements and ani</w:t>
            </w:r>
            <w:r w:rsidRPr="00C56D1E">
              <w:t>mal ethics guidelines</w:t>
            </w:r>
          </w:p>
          <w:p w:rsidR="00000000" w:rsidRPr="00C56D1E" w:rsidP="00C56D1E">
            <w:pPr>
              <w:pStyle w:val="BodyText"/>
            </w:pPr>
            <w:r w:rsidRPr="00C56D1E">
              <w:t>2.7 Zero and test-fire firearm according to industry practice</w:t>
            </w:r>
          </w:p>
          <w:p w:rsidR="00000000" w:rsidP="00C56D1E">
            <w:pPr>
              <w:pStyle w:val="BodyText"/>
              <w:rPr>
                <w:lang w:val="en-NZ"/>
              </w:rPr>
            </w:pPr>
            <w:r w:rsidRPr="00C56D1E">
              <w:t>2.8 Stow firearm unloaded and in safety mode for transport</w:t>
            </w:r>
          </w:p>
        </w:tc>
      </w:tr>
      <w:tr w:rsidTr="000B30B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6D1E">
            <w:pPr>
              <w:pStyle w:val="BodyText"/>
              <w:rPr>
                <w:lang w:val="en-NZ"/>
              </w:rPr>
            </w:pPr>
            <w:r w:rsidRPr="00C56D1E">
              <w:t>3. Harvest animals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6D1E" w:rsidP="00C56D1E">
            <w:pPr>
              <w:pStyle w:val="BodyText"/>
            </w:pPr>
            <w:r w:rsidRPr="00C56D1E">
              <w:t>3.1 Use personal protective equipment (PPE) according to workplace health and safety standard</w:t>
            </w:r>
            <w:r w:rsidRPr="00C56D1E">
              <w:t>s and statutory requirements</w:t>
            </w:r>
          </w:p>
          <w:p w:rsidR="00000000" w:rsidRPr="00C56D1E" w:rsidP="00C56D1E">
            <w:pPr>
              <w:pStyle w:val="BodyText"/>
            </w:pPr>
            <w:r w:rsidRPr="00C56D1E">
              <w:t>3.2 Carry firearm safely with muzzle pointing in safe direction at all times according to statutory requirements and industry practice</w:t>
            </w:r>
          </w:p>
          <w:p w:rsidR="00000000" w:rsidRPr="00C56D1E" w:rsidP="00C56D1E">
            <w:pPr>
              <w:pStyle w:val="BodyText"/>
            </w:pPr>
            <w:r w:rsidRPr="00C56D1E">
              <w:t>3.3 Load, discharge and unload firearm safely according to regulatory requirements</w:t>
            </w:r>
          </w:p>
          <w:p w:rsidR="00000000" w:rsidRPr="00C56D1E" w:rsidP="00C56D1E">
            <w:pPr>
              <w:pStyle w:val="BodyText"/>
            </w:pPr>
            <w:r w:rsidRPr="00C56D1E">
              <w:t>3.4 Inspe</w:t>
            </w:r>
            <w:r w:rsidRPr="00C56D1E">
              <w:t>ct target animal pre-harvest for suitability</w:t>
            </w:r>
          </w:p>
          <w:p w:rsidR="00000000" w:rsidRPr="00C56D1E" w:rsidP="00C56D1E">
            <w:pPr>
              <w:pStyle w:val="BodyText"/>
            </w:pPr>
            <w:r w:rsidRPr="00C56D1E">
              <w:t xml:space="preserve">3.5 Aim firearm at head of target species </w:t>
            </w:r>
          </w:p>
          <w:p w:rsidR="00000000" w:rsidRPr="00C56D1E" w:rsidP="00C56D1E">
            <w:pPr>
              <w:pStyle w:val="BodyText"/>
            </w:pPr>
            <w:r w:rsidRPr="00C56D1E">
              <w:t xml:space="preserve">3.6 Kill each target animal using a single brain shot for commercial </w:t>
            </w:r>
            <w:r w:rsidRPr="00C56D1E">
              <w:t>harvest</w:t>
            </w:r>
          </w:p>
          <w:p w:rsidR="00000000" w:rsidRPr="00C56D1E" w:rsidP="00C56D1E">
            <w:pPr>
              <w:pStyle w:val="BodyText"/>
            </w:pPr>
            <w:r w:rsidRPr="00C56D1E">
              <w:t>3.7 Check each target animal to ensure it is dead prior to selecting the next target animal</w:t>
            </w:r>
          </w:p>
          <w:p w:rsidR="00000000" w:rsidRPr="00C56D1E" w:rsidP="00C56D1E">
            <w:pPr>
              <w:pStyle w:val="BodyText"/>
            </w:pPr>
            <w:r w:rsidRPr="00C56D1E">
              <w:t>3.8 Tag and record animals to be left in the field as a result of a non-brain shot, according to state requirements</w:t>
            </w:r>
          </w:p>
          <w:p w:rsidR="00000000" w:rsidP="00C56D1E">
            <w:pPr>
              <w:pStyle w:val="BodyText"/>
              <w:rPr>
                <w:lang w:val="en-NZ"/>
              </w:rPr>
            </w:pPr>
            <w:r w:rsidRPr="00C56D1E">
              <w:t>3.9 Bleed carcases according to industry practice</w:t>
            </w:r>
          </w:p>
        </w:tc>
      </w:tr>
      <w:tr w:rsidTr="000B30B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6D1E">
            <w:pPr>
              <w:pStyle w:val="BodyText"/>
              <w:rPr>
                <w:lang w:val="en-NZ"/>
              </w:rPr>
            </w:pPr>
            <w:r w:rsidRPr="00C56D1E">
              <w:t>4. Euthanise dependent young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6D1E" w:rsidP="00C56D1E">
            <w:pPr>
              <w:pStyle w:val="BodyText"/>
            </w:pPr>
            <w:r w:rsidRPr="00C56D1E">
              <w:t>4.1 Check any female animals for dependent young</w:t>
            </w:r>
          </w:p>
          <w:p w:rsidR="00000000" w:rsidP="00C56D1E">
            <w:pPr>
              <w:pStyle w:val="BodyText"/>
              <w:rPr>
                <w:lang w:val="en-NZ"/>
              </w:rPr>
            </w:pPr>
            <w:r w:rsidRPr="00C56D1E">
              <w:t>4.2 If found, destroy dependent young in a humane manner, according to relevant codes and animal welfare guidelines</w:t>
            </w:r>
          </w:p>
        </w:tc>
      </w:tr>
      <w:tr w:rsidTr="000B30B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6D1E">
            <w:pPr>
              <w:pStyle w:val="BodyText"/>
              <w:rPr>
                <w:lang w:val="en-NZ"/>
              </w:rPr>
            </w:pPr>
            <w:r w:rsidRPr="00C56D1E">
              <w:t>5. Clean and store equipment and material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6D1E" w:rsidP="00C56D1E">
            <w:pPr>
              <w:pStyle w:val="BodyText"/>
            </w:pPr>
            <w:r w:rsidRPr="00C56D1E">
              <w:t>5.1 Maintain and store firearms according to manufacturer instructions and statutory requirements</w:t>
            </w:r>
          </w:p>
          <w:p w:rsidR="00000000" w:rsidRPr="00C56D1E" w:rsidP="00C56D1E">
            <w:pPr>
              <w:pStyle w:val="BodyText"/>
            </w:pPr>
            <w:r w:rsidRPr="00C56D1E">
              <w:t>5.2 Store ammunition according to statutory requirements</w:t>
            </w:r>
          </w:p>
          <w:p w:rsidR="00000000" w:rsidRPr="00C56D1E" w:rsidP="00C56D1E">
            <w:pPr>
              <w:pStyle w:val="BodyText"/>
            </w:pPr>
            <w:r w:rsidRPr="00C56D1E">
              <w:t>5.3 Complete records according to workplace requirements</w:t>
            </w:r>
          </w:p>
        </w:tc>
      </w:tr>
    </w:tbl>
    <w:p w:rsidR="00000000" w:rsidRPr="00C56D1E" w:rsidP="00C56D1E">
      <w:pPr>
        <w:pStyle w:val="BodyText"/>
      </w:pPr>
    </w:p>
    <w:p w:rsidR="00000000" w:rsidRPr="00C56D1E" w:rsidP="00C56D1E">
      <w:pPr>
        <w:pStyle w:val="AllowPageBreak"/>
      </w:pPr>
    </w:p>
    <w:p w:rsidR="00000000" w:rsidRPr="00C56D1E" w:rsidP="00C56D1E">
      <w:pPr>
        <w:pStyle w:val="Heading1"/>
      </w:pPr>
      <w:bookmarkStart w:id="6" w:name="O_1259804"/>
      <w:bookmarkEnd w:id="6"/>
      <w:r w:rsidRPr="00C56D1E">
        <w:t>Foundation Skills</w:t>
      </w:r>
    </w:p>
    <w:p w:rsidR="00000000" w:rsidRPr="000B30B6" w:rsidP="000B30B6">
      <w:pPr>
        <w:pStyle w:val="BodyText"/>
        <w:rPr>
          <w:i/>
        </w:rPr>
      </w:pPr>
      <w:r w:rsidRPr="000B30B6">
        <w:rPr>
          <w:rStyle w:val="Emphasis"/>
        </w:rPr>
        <w:t>This section describes those language, literacy, numeracy and employment skills that are essential for</w:t>
      </w:r>
      <w:r w:rsidRPr="000B30B6">
        <w:rPr>
          <w:rStyle w:val="Emphasis"/>
        </w:rPr>
        <w:t xml:space="preserve">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56D1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6D1E">
            <w:pPr>
              <w:pStyle w:val="BodyTextBold"/>
              <w:rPr>
                <w:lang w:val="en-NZ"/>
              </w:rPr>
            </w:pPr>
            <w:r w:rsidRPr="00C56D1E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6D1E">
            <w:pPr>
              <w:pStyle w:val="BodyTextBold"/>
              <w:rPr>
                <w:lang w:val="en-NZ"/>
              </w:rPr>
            </w:pPr>
            <w:r w:rsidRPr="00C56D1E">
              <w:t>Description</w:t>
            </w:r>
          </w:p>
        </w:tc>
      </w:tr>
      <w:tr w:rsidTr="00C56D1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6D1E">
            <w:pPr>
              <w:pStyle w:val="BodyText"/>
              <w:rPr>
                <w:lang w:val="en-NZ"/>
              </w:rPr>
            </w:pPr>
            <w:r w:rsidRPr="00C56D1E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6D1E" w:rsidP="00C56D1E">
            <w:pPr>
              <w:pStyle w:val="ListBullet"/>
            </w:pPr>
            <w:r w:rsidRPr="00C56D1E">
              <w:t>Interpret regulatory and licensing requirements, and codes of practice</w:t>
            </w:r>
          </w:p>
        </w:tc>
      </w:tr>
    </w:tbl>
    <w:p w:rsidR="00000000" w:rsidRPr="00C56D1E" w:rsidP="00C56D1E">
      <w:pPr>
        <w:pStyle w:val="BodyText"/>
      </w:pPr>
    </w:p>
    <w:p w:rsidR="00000000" w:rsidRPr="00C56D1E" w:rsidP="00C56D1E">
      <w:pPr>
        <w:pStyle w:val="AllowPageBreak"/>
      </w:pPr>
    </w:p>
    <w:p w:rsidR="00000000" w:rsidRPr="00C56D1E" w:rsidP="00C56D1E">
      <w:pPr>
        <w:pStyle w:val="Heading1"/>
      </w:pPr>
      <w:bookmarkStart w:id="7" w:name="O_1259806"/>
      <w:bookmarkEnd w:id="7"/>
      <w:r w:rsidRPr="00C56D1E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C56D1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6D1E">
            <w:pPr>
              <w:pStyle w:val="BodyTextBold"/>
              <w:rPr>
                <w:lang w:val="en-NZ"/>
              </w:rPr>
            </w:pPr>
            <w:r w:rsidRPr="00C56D1E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6D1E">
            <w:pPr>
              <w:pStyle w:val="BodyTextBold"/>
              <w:rPr>
                <w:lang w:val="en-NZ"/>
              </w:rPr>
            </w:pPr>
            <w:r w:rsidRPr="00C56D1E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6D1E">
            <w:pPr>
              <w:pStyle w:val="BodyTextBold"/>
              <w:rPr>
                <w:lang w:val="en-NZ"/>
              </w:rPr>
            </w:pPr>
            <w:r w:rsidRPr="00C56D1E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6D1E">
            <w:pPr>
              <w:pStyle w:val="BodyTextBold"/>
              <w:rPr>
                <w:lang w:val="en-NZ"/>
              </w:rPr>
            </w:pPr>
            <w:r w:rsidRPr="00C56D1E">
              <w:t>Equivalence status</w:t>
            </w:r>
          </w:p>
        </w:tc>
      </w:tr>
      <w:tr w:rsidTr="00C56D1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6D1E">
            <w:pPr>
              <w:pStyle w:val="BodyText"/>
              <w:rPr>
                <w:lang w:val="en-NZ"/>
              </w:rPr>
            </w:pPr>
            <w:r w:rsidRPr="00C56D1E">
              <w:t>AMPGAM303 Use firearms to safely and humanely harvest wild game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6D1E">
            <w:pPr>
              <w:pStyle w:val="BodyText"/>
              <w:rPr>
                <w:lang w:val="en-NZ"/>
              </w:rPr>
            </w:pPr>
            <w:r w:rsidRPr="00C56D1E">
              <w:t>AMPG306 Use firearms to harvest wild game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6D1E" w:rsidP="00C56D1E">
            <w:pPr>
              <w:pStyle w:val="BodyText"/>
            </w:pPr>
            <w:r w:rsidRPr="00C56D1E">
              <w:t>Unit code and title updated</w:t>
            </w:r>
          </w:p>
          <w:p w:rsidR="00000000" w:rsidRPr="00C56D1E" w:rsidP="00C56D1E">
            <w:pPr>
              <w:pStyle w:val="BodyText"/>
            </w:pPr>
            <w:r w:rsidRPr="00C56D1E">
              <w:t>Performance Criteria clarified</w:t>
            </w:r>
          </w:p>
          <w:p w:rsidR="00000000" w:rsidRPr="00C56D1E" w:rsidP="00C56D1E">
            <w:pPr>
              <w:pStyle w:val="BodyText"/>
            </w:pPr>
            <w:r w:rsidRPr="00C56D1E">
              <w:t>Element 4 added</w:t>
            </w:r>
          </w:p>
          <w:p w:rsidR="00000000" w:rsidRPr="00C56D1E" w:rsidP="00C56D1E">
            <w:pPr>
              <w:pStyle w:val="BodyText"/>
            </w:pPr>
            <w:r w:rsidRPr="00C56D1E">
              <w:t>Foundation Skills added</w:t>
            </w:r>
          </w:p>
          <w:p w:rsidR="00000000" w:rsidP="00C56D1E">
            <w:pPr>
              <w:pStyle w:val="BodyText"/>
              <w:rPr>
                <w:lang w:val="en-NZ"/>
              </w:rPr>
            </w:pPr>
            <w:r w:rsidRPr="00C56D1E">
              <w:t>Performance Evidence, Knowledge Evidence and Assessment Conditions revised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6D1E" w:rsidP="00C56D1E">
            <w:pPr>
              <w:pStyle w:val="BodyText"/>
            </w:pPr>
            <w:r w:rsidRPr="00C56D1E">
              <w:t>Not equivalent</w:t>
            </w:r>
          </w:p>
        </w:tc>
      </w:tr>
    </w:tbl>
    <w:p w:rsidR="00000000" w:rsidRPr="00C56D1E" w:rsidP="00C56D1E">
      <w:pPr>
        <w:pStyle w:val="BodyText"/>
      </w:pPr>
    </w:p>
    <w:p w:rsidR="00000000" w:rsidRPr="00C56D1E" w:rsidP="00C56D1E">
      <w:pPr>
        <w:pStyle w:val="AllowPageBreak"/>
      </w:pPr>
    </w:p>
    <w:p w:rsidR="00000000" w:rsidRPr="00C56D1E" w:rsidP="00C56D1E">
      <w:pPr>
        <w:pStyle w:val="Heading1"/>
      </w:pPr>
      <w:bookmarkStart w:id="8" w:name="O_1259813"/>
      <w:bookmarkEnd w:id="8"/>
      <w:r w:rsidRPr="00C56D1E">
        <w:t>Links</w:t>
      </w:r>
    </w:p>
    <w:p w:rsidR="00000000" w:rsidRPr="00C56D1E" w:rsidP="000B30B6">
      <w:pPr>
        <w:pStyle w:val="BodyText"/>
      </w:pPr>
      <w:r w:rsidRPr="00C56D1E">
        <w:t xml:space="preserve">Companion Volumes, including Implementation Guides, are available at </w:t>
      </w:r>
      <w:r w:rsidRPr="00C56D1E">
        <w:t xml:space="preserve">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566CA1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C56D1E" w:rsidP="00C56D1E"/>
    <w:sectPr w:rsidSect="00C56D1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6D1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6D1E" w:rsidRPr="000B30B6" w:rsidP="000B30B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6D1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30B6" w:rsidP="00C56D1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B30B6" w:rsidP="00C56D1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0B30B6" w:rsidP="00C56D1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6D1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30B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56D1E" w:rsidRPr="000B30B6" w:rsidP="000B30B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6D1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30B6" w:rsidRPr="002D2AF8" w:rsidP="00C56D1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AMPGAM303 Use firearms to safely and humanely harvest wild game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0B30B6" w:rsidP="00C56D1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6C045B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ACCE30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6D1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56D1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56D1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56D1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56D1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56D1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56D1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56D1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56D1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56D1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56D1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56D1E"/>
  </w:style>
  <w:style w:type="character" w:customStyle="1" w:styleId="Heading1Char">
    <w:name w:val="Heading 1 Char"/>
    <w:basedOn w:val="DefaultParagraphFont"/>
    <w:link w:val="Heading1"/>
    <w:rsid w:val="00C56D1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56D1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56D1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56D1E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C56D1E"/>
    <w:rPr>
      <w:i/>
    </w:rPr>
  </w:style>
  <w:style w:type="paragraph" w:customStyle="1" w:styleId="SuperHeading">
    <w:name w:val="SuperHeading"/>
    <w:basedOn w:val="Normal"/>
    <w:rsid w:val="00C56D1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56D1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C56D1E"/>
    <w:rPr>
      <w:b/>
    </w:rPr>
  </w:style>
  <w:style w:type="character" w:customStyle="1" w:styleId="Heading2Char">
    <w:name w:val="Heading 2 Char"/>
    <w:basedOn w:val="DefaultParagraphFont"/>
    <w:link w:val="Heading2"/>
    <w:rsid w:val="00C56D1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56D1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56D1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56D1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56D1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56D1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56D1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56D1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56D1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56D1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56D1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56D1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56D1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56D1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56D1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56D1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56D1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56D1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56D1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56D1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56D1E"/>
    <w:rPr>
      <w:b/>
      <w:spacing w:val="0"/>
    </w:rPr>
  </w:style>
  <w:style w:type="paragraph" w:customStyle="1" w:styleId="SuperTitle">
    <w:name w:val="SuperTitle"/>
    <w:basedOn w:val="Title"/>
    <w:rsid w:val="00C56D1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56D1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56D1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56D1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56D1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56D1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56D1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56D1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56D1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56D1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56D1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56D1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56D1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56D1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56D1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56D1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56D1E"/>
  </w:style>
  <w:style w:type="paragraph" w:styleId="TableofFigures">
    <w:name w:val="table of figures"/>
    <w:basedOn w:val="Normal"/>
    <w:next w:val="Normal"/>
    <w:semiHidden/>
    <w:rsid w:val="00C56D1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56D1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56D1E"/>
    <w:rPr>
      <w:rFonts w:ascii="Wingdings" w:hAnsi="Wingdings"/>
    </w:rPr>
  </w:style>
  <w:style w:type="paragraph" w:customStyle="1" w:styleId="TableHeading">
    <w:name w:val="Table Heading"/>
    <w:basedOn w:val="HeadingBase"/>
    <w:rsid w:val="00C56D1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56D1E"/>
    <w:rPr>
      <w:color w:val="0033CC"/>
      <w:u w:val="none"/>
    </w:rPr>
  </w:style>
  <w:style w:type="paragraph" w:customStyle="1" w:styleId="BodyTextRight">
    <w:name w:val="Body Text Right"/>
    <w:basedOn w:val="BodyText"/>
    <w:rsid w:val="00C56D1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56D1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56D1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56D1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56D1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56D1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56D1E"/>
    <w:rPr>
      <w:sz w:val="32"/>
    </w:rPr>
  </w:style>
  <w:style w:type="paragraph" w:customStyle="1" w:styleId="HeadingProcedure">
    <w:name w:val="Heading Procedure"/>
    <w:basedOn w:val="HeadingBase"/>
    <w:next w:val="Normal"/>
    <w:rsid w:val="00C56D1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56D1E"/>
    <w:pPr>
      <w:spacing w:before="60" w:after="60"/>
    </w:pPr>
  </w:style>
  <w:style w:type="paragraph" w:styleId="ListContinue">
    <w:name w:val="List Continue"/>
    <w:basedOn w:val="List"/>
    <w:rsid w:val="00C56D1E"/>
    <w:pPr>
      <w:ind w:firstLine="0"/>
    </w:pPr>
  </w:style>
  <w:style w:type="paragraph" w:customStyle="1" w:styleId="ListNote">
    <w:name w:val="List Note"/>
    <w:basedOn w:val="List"/>
    <w:rsid w:val="00C56D1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56D1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56D1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56D1E"/>
    <w:rPr>
      <w:rFonts w:ascii="Courier New" w:hAnsi="Courier New"/>
    </w:rPr>
  </w:style>
  <w:style w:type="paragraph" w:customStyle="1" w:styleId="NoteBullet">
    <w:name w:val="Note Bullet"/>
    <w:basedOn w:val="Note"/>
    <w:rsid w:val="00C56D1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56D1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56D1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56D1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56D1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56D1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56D1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56D1E"/>
    <w:rPr>
      <w:b/>
      <w:smallCaps/>
    </w:rPr>
  </w:style>
  <w:style w:type="paragraph" w:customStyle="1" w:styleId="TableListNumber">
    <w:name w:val="Table List Number"/>
    <w:basedOn w:val="ListNumber"/>
    <w:rsid w:val="00C56D1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56D1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56D1E"/>
    <w:pPr>
      <w:numPr>
        <w:numId w:val="8"/>
      </w:numPr>
    </w:pPr>
  </w:style>
  <w:style w:type="paragraph" w:customStyle="1" w:styleId="ListAlpha2">
    <w:name w:val="List Alpha 2"/>
    <w:basedOn w:val="List2"/>
    <w:rsid w:val="00C56D1E"/>
    <w:pPr>
      <w:numPr>
        <w:numId w:val="7"/>
      </w:numPr>
    </w:pPr>
  </w:style>
  <w:style w:type="paragraph" w:styleId="List2">
    <w:name w:val="List 2"/>
    <w:basedOn w:val="BodyText"/>
    <w:rsid w:val="00C56D1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56D1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56D1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56D1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56D1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56D1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56D1E"/>
    <w:pPr>
      <w:numPr>
        <w:numId w:val="3"/>
      </w:numPr>
    </w:pPr>
  </w:style>
  <w:style w:type="paragraph" w:styleId="ListContinue2">
    <w:name w:val="List Continue 2"/>
    <w:basedOn w:val="List2"/>
    <w:rsid w:val="00C56D1E"/>
    <w:pPr>
      <w:ind w:firstLine="0"/>
    </w:pPr>
  </w:style>
  <w:style w:type="paragraph" w:styleId="ListContinue3">
    <w:name w:val="List Continue 3"/>
    <w:basedOn w:val="List3"/>
    <w:rsid w:val="00C56D1E"/>
    <w:pPr>
      <w:ind w:left="1021" w:firstLine="0"/>
    </w:pPr>
  </w:style>
  <w:style w:type="paragraph" w:styleId="ListContinue4">
    <w:name w:val="List Continue 4"/>
    <w:basedOn w:val="List4"/>
    <w:rsid w:val="00C56D1E"/>
    <w:pPr>
      <w:ind w:firstLine="0"/>
    </w:pPr>
  </w:style>
  <w:style w:type="paragraph" w:styleId="ListContinue5">
    <w:name w:val="List Continue 5"/>
    <w:basedOn w:val="List5"/>
    <w:rsid w:val="00C56D1E"/>
    <w:pPr>
      <w:ind w:firstLine="0"/>
    </w:pPr>
  </w:style>
  <w:style w:type="paragraph" w:styleId="ListNumber3">
    <w:name w:val="List Number 3"/>
    <w:basedOn w:val="List3"/>
    <w:rsid w:val="00C56D1E"/>
    <w:pPr>
      <w:numPr>
        <w:numId w:val="4"/>
      </w:numPr>
    </w:pPr>
  </w:style>
  <w:style w:type="paragraph" w:styleId="ListNumber4">
    <w:name w:val="List Number 4"/>
    <w:basedOn w:val="List4"/>
    <w:rsid w:val="00C56D1E"/>
    <w:pPr>
      <w:numPr>
        <w:numId w:val="5"/>
      </w:numPr>
    </w:pPr>
  </w:style>
  <w:style w:type="paragraph" w:styleId="ListNumber5">
    <w:name w:val="List Number 5"/>
    <w:basedOn w:val="List5"/>
    <w:rsid w:val="00C56D1E"/>
    <w:pPr>
      <w:numPr>
        <w:numId w:val="6"/>
      </w:numPr>
    </w:pPr>
  </w:style>
  <w:style w:type="paragraph" w:styleId="BlockText">
    <w:name w:val="Block Text"/>
    <w:basedOn w:val="Normal"/>
    <w:rsid w:val="00C56D1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56D1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56D1E"/>
    <w:rPr>
      <w:sz w:val="16"/>
      <w:vertAlign w:val="superscript"/>
    </w:rPr>
  </w:style>
  <w:style w:type="character" w:customStyle="1" w:styleId="Symbols">
    <w:name w:val="Symbols"/>
    <w:basedOn w:val="DefaultParagraphFont"/>
    <w:rsid w:val="00C56D1E"/>
    <w:rPr>
      <w:rFonts w:ascii="Symbol" w:hAnsi="Symbol"/>
    </w:rPr>
  </w:style>
  <w:style w:type="character" w:customStyle="1" w:styleId="MenuOptions">
    <w:name w:val="Menu Options"/>
    <w:basedOn w:val="DefaultParagraphFont"/>
    <w:rsid w:val="00C56D1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56D1E"/>
    <w:rPr>
      <w:b/>
    </w:rPr>
  </w:style>
  <w:style w:type="character" w:customStyle="1" w:styleId="Underlined">
    <w:name w:val="Underlined"/>
    <w:basedOn w:val="DefaultParagraphFont"/>
    <w:rsid w:val="00C56D1E"/>
    <w:rPr>
      <w:u w:val="single"/>
    </w:rPr>
  </w:style>
  <w:style w:type="paragraph" w:customStyle="1" w:styleId="TableBodyTextRight">
    <w:name w:val="Table Body Text Right"/>
    <w:basedOn w:val="TableBodyText"/>
    <w:rsid w:val="00C56D1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56D1E"/>
    <w:rPr>
      <w:sz w:val="18"/>
    </w:rPr>
  </w:style>
  <w:style w:type="paragraph" w:customStyle="1" w:styleId="BodySmallRight">
    <w:name w:val="Body Small Right"/>
    <w:basedOn w:val="BodyTextRight"/>
    <w:rsid w:val="00C56D1E"/>
    <w:rPr>
      <w:sz w:val="18"/>
      <w:szCs w:val="18"/>
    </w:rPr>
  </w:style>
  <w:style w:type="paragraph" w:customStyle="1" w:styleId="MarginEdition">
    <w:name w:val="Margin Edition"/>
    <w:basedOn w:val="MarginNote"/>
    <w:rsid w:val="00C56D1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56D1E"/>
    <w:rPr>
      <w:sz w:val="2"/>
      <w:szCs w:val="2"/>
    </w:rPr>
  </w:style>
  <w:style w:type="character" w:customStyle="1" w:styleId="Small">
    <w:name w:val="Small"/>
    <w:basedOn w:val="DefaultParagraphFont"/>
    <w:rsid w:val="00C56D1E"/>
    <w:rPr>
      <w:sz w:val="16"/>
    </w:rPr>
  </w:style>
  <w:style w:type="paragraph" w:customStyle="1" w:styleId="WideTable">
    <w:name w:val="Wide Table"/>
    <w:basedOn w:val="Normal"/>
    <w:rsid w:val="00C56D1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56D1E"/>
  </w:style>
  <w:style w:type="paragraph" w:styleId="Quote">
    <w:name w:val="Quote"/>
    <w:basedOn w:val="Heading1"/>
    <w:link w:val="QuoteChar"/>
    <w:qFormat/>
    <w:rsid w:val="00C56D1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56D1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56D1E"/>
    <w:pPr>
      <w:pageBreakBefore/>
    </w:pPr>
  </w:style>
  <w:style w:type="paragraph" w:customStyle="1" w:styleId="Border">
    <w:name w:val="Border"/>
    <w:basedOn w:val="Normal"/>
    <w:qFormat/>
    <w:rsid w:val="00C56D1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56D1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56D1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56D1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56D1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56D1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56D1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56D1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56D1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56D1E"/>
    <w:rPr>
      <w:u w:val="single"/>
    </w:rPr>
  </w:style>
  <w:style w:type="character" w:customStyle="1" w:styleId="BoldandItalics">
    <w:name w:val="Bold and Italics"/>
    <w:qFormat/>
    <w:rsid w:val="00C56D1E"/>
    <w:rPr>
      <w:b/>
      <w:i/>
      <w:u w:val="none"/>
    </w:rPr>
  </w:style>
  <w:style w:type="paragraph" w:styleId="BalloonText">
    <w:name w:val="Balloon Text"/>
    <w:basedOn w:val="Normal"/>
    <w:link w:val="BalloonTextChar"/>
    <w:rsid w:val="00C56D1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56D1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56D1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56D1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56D1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56D1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56D1E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0B30B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706</Words>
  <Characters>4277</Characters>
  <Application>Microsoft Office Word</Application>
  <DocSecurity>0</DocSecurity>
  <Lines>147</Lines>
  <Paragraphs>90</Paragraphs>
  <ScaleCrop>false</ScaleCrop>
  <Company>Author-it Software Corporation Ltd.</Company>
  <LinksUpToDate>false</LinksUpToDate>
  <CharactersWithSpaces>4893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AMPGAM303 Use firearms to safely and humanely harvest wild game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2023-01-24T23:39:00Z</dcterms:created>
  <dcterms:modified xsi:type="dcterms:W3CDTF">2023-01-24T23:39:00Z</dcterms:modified>
</cp:coreProperties>
</file>