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73C7" w:rsidP="002873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AMPG302 Eviscerate, inspect and tag wild game carcase in the field</w:t>
      </w:r>
      <w:r>
        <w:fldChar w:fldCharType="end"/>
      </w:r>
    </w:p>
    <w:p w:rsidR="002873C7" w:rsidP="002873C7">
      <w:pPr>
        <w:pStyle w:val="Version"/>
        <w:sectPr w:rsidSect="00ED40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40CD" w:rsidP="00ED40CD">
      <w:pPr>
        <w:pStyle w:val="SuperHeading"/>
      </w:pPr>
      <w:r w:rsidRPr="00ED40CD">
        <w:t>AMPG302 Eviscerate, inspect and tag wild game carcase in the field</w:t>
      </w:r>
    </w:p>
    <w:p w:rsidR="00000000" w:rsidRPr="00ED40CD" w:rsidP="00ED40CD">
      <w:pPr>
        <w:pStyle w:val="Heading1"/>
      </w:pPr>
      <w:bookmarkStart w:id="1" w:name="O_891597"/>
      <w:bookmarkEnd w:id="1"/>
      <w:r w:rsidRPr="00ED40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D4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CD">
            <w:pPr>
              <w:pStyle w:val="TableHeading"/>
              <w:rPr>
                <w:lang w:val="en-NZ"/>
              </w:rPr>
            </w:pPr>
            <w:r w:rsidRPr="00ED40C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CD">
            <w:pPr>
              <w:pStyle w:val="TableHeading"/>
              <w:rPr>
                <w:lang w:val="en-NZ"/>
              </w:rPr>
            </w:pPr>
            <w:r w:rsidRPr="00ED40C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CD">
            <w:pPr>
              <w:pStyle w:val="TableHeading"/>
              <w:rPr>
                <w:lang w:val="en-NZ"/>
              </w:rPr>
            </w:pPr>
            <w:r w:rsidRPr="00ED40CD">
              <w:t>Comment</w:t>
            </w:r>
          </w:p>
        </w:tc>
      </w:tr>
      <w:tr w:rsidTr="00ED4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CD">
            <w:pPr>
              <w:pStyle w:val="BodyText"/>
              <w:rPr>
                <w:lang w:val="en-NZ"/>
              </w:rPr>
            </w:pPr>
            <w:r w:rsidRPr="00ED40C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CD">
            <w:pPr>
              <w:pStyle w:val="BodyText"/>
              <w:rPr>
                <w:lang w:val="en-NZ"/>
              </w:rPr>
            </w:pPr>
            <w:r w:rsidRPr="00ED40C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0CD" w:rsidP="00ED40CD">
            <w:pPr>
              <w:pStyle w:val="BodyText"/>
            </w:pPr>
            <w:r w:rsidRPr="00ED40CD">
              <w:t>Initial release</w:t>
            </w:r>
          </w:p>
        </w:tc>
      </w:tr>
    </w:tbl>
    <w:p w:rsidR="00000000" w:rsidRPr="00ED40CD" w:rsidP="00ED40CD">
      <w:pPr>
        <w:pStyle w:val="BodyText"/>
      </w:pPr>
    </w:p>
    <w:p w:rsidR="00000000" w:rsidRPr="00ED40CD" w:rsidP="00ED40CD">
      <w:pPr>
        <w:pStyle w:val="AllowPageBreak"/>
      </w:pPr>
    </w:p>
    <w:p w:rsidR="00000000" w:rsidRPr="00ED40CD" w:rsidP="00ED40CD">
      <w:pPr>
        <w:pStyle w:val="Heading1"/>
      </w:pPr>
      <w:bookmarkStart w:id="2" w:name="O_891598"/>
      <w:bookmarkEnd w:id="2"/>
      <w:r w:rsidRPr="00ED40CD">
        <w:t>Application</w:t>
      </w:r>
    </w:p>
    <w:p w:rsidR="00000000" w:rsidRPr="00ED40CD" w:rsidP="002873C7">
      <w:pPr>
        <w:pStyle w:val="BodyText"/>
      </w:pPr>
      <w:r w:rsidRPr="00ED40CD">
        <w:t>This unit describes the skills and knowledge required to partially or fully eviscerate a wild game animal carcase in the field.</w:t>
      </w:r>
    </w:p>
    <w:p w:rsidR="00000000" w:rsidRPr="00ED40CD" w:rsidP="002873C7">
      <w:pPr>
        <w:pStyle w:val="BodyText"/>
      </w:pPr>
      <w:r w:rsidRPr="00ED40CD">
        <w:t xml:space="preserve">This unit is applicable to field harvesters who are required to partially or fully eviscerate wild game animal carcases in the </w:t>
      </w:r>
      <w:r w:rsidRPr="00ED40CD">
        <w:t>field prior to delivery of wild game carcases to a field depot or wild game processing premises. Tagging will be carried out according to company and regulatory requirements.</w:t>
      </w:r>
    </w:p>
    <w:p w:rsidR="00000000" w:rsidRPr="00ED40CD" w:rsidP="002873C7">
      <w:pPr>
        <w:pStyle w:val="BodyText"/>
      </w:pPr>
      <w:r w:rsidRPr="00ED40CD">
        <w:t>All work should be carried out to comply with workplace procedures, customer req</w:t>
      </w:r>
      <w:r w:rsidRPr="00ED40CD">
        <w:t>uirements and product specifications.</w:t>
      </w:r>
    </w:p>
    <w:p w:rsidR="00000000" w:rsidRPr="00ED40CD" w:rsidP="002873C7">
      <w:pPr>
        <w:pStyle w:val="BodyText"/>
      </w:pPr>
      <w:r w:rsidRPr="00ED40CD">
        <w:t>No occupational licensing, legislative or certification requirements are known to apply to this unit at the time of publication.</w:t>
      </w:r>
    </w:p>
    <w:p w:rsidR="00000000" w:rsidRPr="00ED40CD" w:rsidP="002873C7">
      <w:pPr>
        <w:pStyle w:val="BodyText"/>
      </w:pPr>
      <w:r w:rsidRPr="00ED40CD">
        <w:t>This unit must be delivered and assessed in the context of Australian meat processing s</w:t>
      </w:r>
      <w:r w:rsidRPr="00ED40CD">
        <w:t>tandards and regulations.</w:t>
      </w:r>
    </w:p>
    <w:p w:rsidR="00000000" w:rsidRPr="00ED40CD" w:rsidP="00ED40CD">
      <w:pPr>
        <w:pStyle w:val="Heading1"/>
      </w:pPr>
      <w:bookmarkStart w:id="3" w:name="O_891599"/>
      <w:bookmarkEnd w:id="3"/>
      <w:r w:rsidRPr="00ED40CD">
        <w:t>Pre-requisite Unit</w:t>
      </w:r>
    </w:p>
    <w:p w:rsidR="00000000" w:rsidRPr="00ED40CD" w:rsidP="00ED40CD">
      <w:pPr>
        <w:pStyle w:val="List"/>
      </w:pPr>
      <w:r w:rsidRPr="00ED40CD">
        <w:t>AMPX209 Sharpen knives</w:t>
      </w:r>
    </w:p>
    <w:p w:rsidR="00000000" w:rsidRPr="00ED40CD" w:rsidP="00ED40CD">
      <w:pPr>
        <w:pStyle w:val="Heading1"/>
      </w:pPr>
      <w:bookmarkStart w:id="4" w:name="O_891601"/>
      <w:bookmarkEnd w:id="4"/>
      <w:r w:rsidRPr="00ED40CD">
        <w:t>Unit Sector</w:t>
      </w:r>
    </w:p>
    <w:p w:rsidR="00000000" w:rsidRPr="00ED40CD" w:rsidP="00ED40CD">
      <w:pPr>
        <w:pStyle w:val="Heading1"/>
      </w:pPr>
      <w:bookmarkStart w:id="5" w:name="O_891602"/>
      <w:bookmarkEnd w:id="5"/>
      <w:r w:rsidRPr="00ED40C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873C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CD">
            <w:pPr>
              <w:pStyle w:val="TableHeading"/>
              <w:rPr>
                <w:lang w:val="en-NZ"/>
              </w:rPr>
            </w:pPr>
            <w:r w:rsidRPr="00ED40C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CD">
            <w:pPr>
              <w:pStyle w:val="TableHeading"/>
              <w:rPr>
                <w:lang w:val="en-NZ"/>
              </w:rPr>
            </w:pPr>
            <w:r w:rsidRPr="00ED40CD">
              <w:t>Performance criteria</w:t>
            </w:r>
          </w:p>
        </w:tc>
      </w:tr>
      <w:tr w:rsidTr="002873C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CD">
            <w:pPr>
              <w:pStyle w:val="BodyText"/>
              <w:rPr>
                <w:lang w:val="en-NZ"/>
              </w:rPr>
            </w:pPr>
            <w:r w:rsidRPr="00ED40CD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CD">
            <w:pPr>
              <w:pStyle w:val="BodyText"/>
              <w:rPr>
                <w:lang w:val="en-NZ"/>
              </w:rPr>
            </w:pPr>
            <w:r w:rsidRPr="00ED40CD">
              <w:t>Performance criteria describe the performance needed to demonstrate achievement of the element.</w:t>
            </w:r>
          </w:p>
        </w:tc>
      </w:tr>
      <w:tr w:rsidTr="002873C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CD">
            <w:pPr>
              <w:pStyle w:val="List"/>
              <w:rPr>
                <w:lang w:val="en-NZ"/>
              </w:rPr>
            </w:pPr>
            <w:r w:rsidRPr="00ED40CD">
              <w:t>1.</w:t>
            </w:r>
            <w:r w:rsidRPr="00ED40CD">
              <w:tab/>
              <w:t>Eviscerate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0CD" w:rsidP="00ED40CD">
            <w:pPr>
              <w:pStyle w:val="List"/>
            </w:pPr>
            <w:r w:rsidRPr="00ED40CD">
              <w:t>1.1</w:t>
            </w:r>
            <w:r w:rsidRPr="00ED40CD">
              <w:tab/>
              <w:t>Perform post-harvesting inspection to identify any abnormality and disease</w:t>
            </w:r>
          </w:p>
          <w:p w:rsidR="00000000" w:rsidRPr="00ED40CD" w:rsidP="00ED40CD">
            <w:pPr>
              <w:pStyle w:val="List"/>
            </w:pPr>
            <w:r w:rsidRPr="00ED40CD">
              <w:t>1.2</w:t>
            </w:r>
            <w:r w:rsidRPr="00ED40CD">
              <w:tab/>
              <w:t>Eviscerate carcases hygienically to company and regula</w:t>
            </w:r>
            <w:r w:rsidRPr="00ED40CD">
              <w:t>tory requirements</w:t>
            </w:r>
          </w:p>
          <w:p w:rsidR="00000000" w:rsidRPr="00ED40CD" w:rsidP="00ED40CD">
            <w:pPr>
              <w:pStyle w:val="List"/>
            </w:pPr>
            <w:r w:rsidRPr="00ED40CD">
              <w:t>1.3</w:t>
            </w:r>
            <w:r w:rsidRPr="00ED40CD">
              <w:tab/>
              <w:t>Consistently follow a set routine for evisceration</w:t>
            </w:r>
          </w:p>
          <w:p w:rsidR="00000000" w:rsidRPr="00ED40CD" w:rsidP="00ED40CD">
            <w:pPr>
              <w:pStyle w:val="List"/>
            </w:pPr>
            <w:r w:rsidRPr="00ED40CD">
              <w:t>1.4</w:t>
            </w:r>
            <w:r w:rsidRPr="00ED40CD">
              <w:tab/>
              <w:t>Identify abnormal conditions and conditions that exclude carcases</w:t>
            </w:r>
          </w:p>
          <w:p w:rsidR="00000000" w:rsidP="00ED40CD">
            <w:pPr>
              <w:pStyle w:val="List"/>
              <w:rPr>
                <w:lang w:val="en-NZ"/>
              </w:rPr>
            </w:pPr>
            <w:r w:rsidRPr="00ED40CD">
              <w:t>1.5</w:t>
            </w:r>
            <w:r w:rsidRPr="00ED40CD">
              <w:tab/>
              <w:t>Maintain hygiene between carcases</w:t>
            </w:r>
          </w:p>
        </w:tc>
      </w:tr>
      <w:tr w:rsidTr="002873C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CD">
            <w:pPr>
              <w:pStyle w:val="List"/>
              <w:rPr>
                <w:lang w:val="en-NZ"/>
              </w:rPr>
            </w:pPr>
            <w:r w:rsidRPr="00ED40CD">
              <w:t>2.</w:t>
            </w:r>
            <w:r w:rsidRPr="00ED40CD">
              <w:tab/>
              <w:t>Inspect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0CD" w:rsidP="00ED40CD">
            <w:pPr>
              <w:pStyle w:val="List"/>
            </w:pPr>
            <w:r w:rsidRPr="00ED40CD">
              <w:t>2.1</w:t>
            </w:r>
            <w:r w:rsidRPr="00ED40CD">
              <w:tab/>
            </w:r>
            <w:r w:rsidRPr="00ED40CD">
              <w:t>Perform post-evisceration inspection for contamination</w:t>
            </w:r>
          </w:p>
          <w:p w:rsidR="00000000" w:rsidRPr="00ED40CD" w:rsidP="00ED40CD">
            <w:pPr>
              <w:pStyle w:val="List"/>
            </w:pPr>
            <w:r w:rsidRPr="00ED40CD">
              <w:t>2.2</w:t>
            </w:r>
            <w:r w:rsidRPr="00ED40CD">
              <w:tab/>
              <w:t>Identify diseases and conditions that exclude carcases</w:t>
            </w:r>
          </w:p>
          <w:p w:rsidR="00000000" w:rsidP="00ED40CD">
            <w:pPr>
              <w:pStyle w:val="List"/>
              <w:rPr>
                <w:lang w:val="en-NZ"/>
              </w:rPr>
            </w:pPr>
            <w:r w:rsidRPr="00ED40CD">
              <w:t>2.3</w:t>
            </w:r>
            <w:r w:rsidRPr="00ED40CD">
              <w:tab/>
              <w:t>Comply with trimming requirements</w:t>
            </w:r>
          </w:p>
        </w:tc>
      </w:tr>
      <w:tr w:rsidTr="002873C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0CD">
            <w:pPr>
              <w:pStyle w:val="List"/>
              <w:rPr>
                <w:lang w:val="en-NZ"/>
              </w:rPr>
            </w:pPr>
            <w:r w:rsidRPr="00ED40CD">
              <w:t>3.</w:t>
            </w:r>
            <w:r w:rsidRPr="00ED40CD">
              <w:tab/>
              <w:t>Tag animal and complete documentation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0CD" w:rsidP="00ED40CD">
            <w:pPr>
              <w:pStyle w:val="List"/>
            </w:pPr>
            <w:r w:rsidRPr="00ED40CD">
              <w:t>3.1</w:t>
            </w:r>
            <w:r w:rsidRPr="00ED40CD">
              <w:tab/>
              <w:t>Accurately complete tagging requirements, where applicable</w:t>
            </w:r>
            <w:r w:rsidRPr="00ED40CD">
              <w:t xml:space="preserve"> to the species and regulatory requirement</w:t>
            </w:r>
          </w:p>
          <w:p w:rsidR="00000000" w:rsidRPr="00ED40CD" w:rsidP="00ED40CD">
            <w:pPr>
              <w:pStyle w:val="List"/>
            </w:pPr>
            <w:r w:rsidRPr="00ED40CD">
              <w:t>3.2</w:t>
            </w:r>
            <w:r w:rsidRPr="00ED40CD">
              <w:tab/>
              <w:t>Identify property by name and/or property identification code (PIC)</w:t>
            </w:r>
          </w:p>
          <w:p w:rsidR="00000000" w:rsidRPr="00ED40CD" w:rsidP="00ED40CD">
            <w:pPr>
              <w:pStyle w:val="List"/>
            </w:pPr>
            <w:r w:rsidRPr="00ED40CD">
              <w:t>3.3</w:t>
            </w:r>
            <w:r w:rsidRPr="00ED40CD">
              <w:tab/>
              <w:t>Identify species for the purposes of completing tags</w:t>
            </w:r>
          </w:p>
        </w:tc>
      </w:tr>
    </w:tbl>
    <w:p w:rsidR="00000000" w:rsidRPr="00ED40CD" w:rsidP="00ED40CD">
      <w:pPr>
        <w:pStyle w:val="BodyText"/>
      </w:pPr>
    </w:p>
    <w:p w:rsidR="00000000" w:rsidRPr="00ED40CD" w:rsidP="00ED40CD">
      <w:pPr>
        <w:pStyle w:val="AllowPageBreak"/>
      </w:pPr>
    </w:p>
    <w:p w:rsidR="00000000" w:rsidRPr="00ED40CD" w:rsidP="00ED40CD">
      <w:pPr>
        <w:pStyle w:val="Heading1"/>
      </w:pPr>
      <w:bookmarkStart w:id="6" w:name="O_891603"/>
      <w:bookmarkEnd w:id="6"/>
      <w:r w:rsidRPr="00ED40CD">
        <w:t>Foundation Skills</w:t>
      </w:r>
    </w:p>
    <w:p w:rsidR="00000000" w:rsidRPr="00ED40CD" w:rsidP="002873C7">
      <w:pPr>
        <w:pStyle w:val="BodyText"/>
      </w:pPr>
      <w:r w:rsidRPr="00ED40CD">
        <w:t xml:space="preserve">Foundation Skills essential to performance are </w:t>
      </w:r>
      <w:r w:rsidRPr="00ED40CD">
        <w:t>explicit in the performance criteria of this unit of competency.</w:t>
      </w:r>
    </w:p>
    <w:p w:rsidR="00000000" w:rsidRPr="00ED40CD" w:rsidP="00ED40CD">
      <w:pPr>
        <w:pStyle w:val="Heading1"/>
      </w:pPr>
      <w:bookmarkStart w:id="7" w:name="O_891604"/>
      <w:bookmarkEnd w:id="7"/>
      <w:r w:rsidRPr="00ED40CD">
        <w:t>Range of Conditions</w:t>
      </w:r>
    </w:p>
    <w:p w:rsidR="00000000" w:rsidRPr="00ED40CD" w:rsidP="00ED40CD">
      <w:pPr>
        <w:pStyle w:val="Heading1"/>
      </w:pPr>
      <w:bookmarkStart w:id="8" w:name="O_891605"/>
      <w:bookmarkEnd w:id="8"/>
      <w:r w:rsidRPr="00ED40CD">
        <w:t>Unit Mapping Information</w:t>
      </w:r>
    </w:p>
    <w:p w:rsidR="00000000" w:rsidRPr="00ED40CD" w:rsidP="002873C7">
      <w:pPr>
        <w:pStyle w:val="BodyText"/>
      </w:pPr>
      <w:r w:rsidRPr="00ED40CD">
        <w:t>This unit is equivalent to MTMG302A Eviscerate, inspect and tag wild game carcase in the field.</w:t>
      </w:r>
    </w:p>
    <w:p w:rsidR="00000000" w:rsidRPr="00ED40CD" w:rsidP="00ED40CD">
      <w:pPr>
        <w:pStyle w:val="Heading1"/>
      </w:pPr>
      <w:bookmarkStart w:id="9" w:name="O_891617"/>
      <w:bookmarkEnd w:id="9"/>
      <w:r w:rsidRPr="00ED40CD">
        <w:t>Links</w:t>
      </w:r>
    </w:p>
    <w:p w:rsidR="00000000" w:rsidRPr="00ED40CD" w:rsidP="002873C7">
      <w:pPr>
        <w:pStyle w:val="BodyText"/>
      </w:pPr>
      <w:r w:rsidRPr="00ED40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12B1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D40CD" w:rsidP="00ED40CD"/>
    <w:sectPr w:rsidSect="00ED40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0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0CD" w:rsidRPr="002873C7" w:rsidP="002873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0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3C7" w:rsidP="00ED40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73C7" w:rsidP="00ED40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873C7" w:rsidP="00ED40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0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3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40CD" w:rsidRPr="002873C7" w:rsidP="002873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0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3C7" w:rsidRPr="002D2AF8" w:rsidP="00ED40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AMPG302 Eviscerate, inspect and tag wild game carcase in the field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873C7" w:rsidP="00ED40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0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40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40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40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40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40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40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40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40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40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40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40CD"/>
  </w:style>
  <w:style w:type="character" w:customStyle="1" w:styleId="Heading1Char">
    <w:name w:val="Heading 1 Char"/>
    <w:basedOn w:val="DefaultParagraphFont"/>
    <w:link w:val="Heading1"/>
    <w:rsid w:val="00ED40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40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40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40C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D40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D40C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D40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40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40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40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40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40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40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40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40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40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40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40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40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40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40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40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40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40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40C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D40C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D40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40CD"/>
    <w:rPr>
      <w:b/>
      <w:spacing w:val="0"/>
    </w:rPr>
  </w:style>
  <w:style w:type="paragraph" w:customStyle="1" w:styleId="SuperTitle">
    <w:name w:val="SuperTitle"/>
    <w:basedOn w:val="Title"/>
    <w:rsid w:val="00ED40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40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40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40C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40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40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40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40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40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40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40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40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40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40CD"/>
    <w:rPr>
      <w:i/>
    </w:rPr>
  </w:style>
  <w:style w:type="paragraph" w:styleId="Caption">
    <w:name w:val="caption"/>
    <w:basedOn w:val="BodyText"/>
    <w:next w:val="Normal"/>
    <w:qFormat/>
    <w:rsid w:val="00ED40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40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40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40CD"/>
  </w:style>
  <w:style w:type="paragraph" w:styleId="TableofFigures">
    <w:name w:val="table of figures"/>
    <w:basedOn w:val="Normal"/>
    <w:next w:val="Normal"/>
    <w:semiHidden/>
    <w:rsid w:val="00ED40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40C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D40CD"/>
    <w:rPr>
      <w:rFonts w:ascii="Wingdings" w:hAnsi="Wingdings"/>
    </w:rPr>
  </w:style>
  <w:style w:type="character" w:customStyle="1" w:styleId="HotSpot">
    <w:name w:val="HotSpot"/>
    <w:rsid w:val="00ED40CD"/>
    <w:rPr>
      <w:color w:val="0033CC"/>
      <w:u w:val="none"/>
    </w:rPr>
  </w:style>
  <w:style w:type="paragraph" w:customStyle="1" w:styleId="BodyTextRight">
    <w:name w:val="Body Text Right"/>
    <w:basedOn w:val="BodyText"/>
    <w:rsid w:val="00ED40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40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40C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40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40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40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40CD"/>
    <w:rPr>
      <w:sz w:val="32"/>
    </w:rPr>
  </w:style>
  <w:style w:type="paragraph" w:customStyle="1" w:styleId="HeadingProcedure">
    <w:name w:val="Heading Procedure"/>
    <w:basedOn w:val="HeadingBase"/>
    <w:next w:val="Normal"/>
    <w:rsid w:val="00ED40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40CD"/>
    <w:pPr>
      <w:spacing w:before="60" w:after="60"/>
    </w:pPr>
  </w:style>
  <w:style w:type="paragraph" w:styleId="ListContinue">
    <w:name w:val="List Continue"/>
    <w:basedOn w:val="List"/>
    <w:rsid w:val="00ED40CD"/>
    <w:pPr>
      <w:ind w:firstLine="0"/>
    </w:pPr>
  </w:style>
  <w:style w:type="paragraph" w:customStyle="1" w:styleId="ListNote">
    <w:name w:val="List Note"/>
    <w:basedOn w:val="List"/>
    <w:rsid w:val="00ED40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40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40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40CD"/>
    <w:rPr>
      <w:rFonts w:ascii="Courier New" w:hAnsi="Courier New"/>
    </w:rPr>
  </w:style>
  <w:style w:type="paragraph" w:customStyle="1" w:styleId="NoteBullet">
    <w:name w:val="Note Bullet"/>
    <w:basedOn w:val="Note"/>
    <w:rsid w:val="00ED40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40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40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40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40C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D40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40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40CD"/>
    <w:rPr>
      <w:b/>
      <w:smallCaps/>
    </w:rPr>
  </w:style>
  <w:style w:type="paragraph" w:customStyle="1" w:styleId="TableListNumber">
    <w:name w:val="Table List Number"/>
    <w:basedOn w:val="ListNumber"/>
    <w:rsid w:val="00ED40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40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40CD"/>
    <w:pPr>
      <w:numPr>
        <w:numId w:val="7"/>
      </w:numPr>
    </w:pPr>
  </w:style>
  <w:style w:type="paragraph" w:customStyle="1" w:styleId="ListAlpha2">
    <w:name w:val="List Alpha 2"/>
    <w:basedOn w:val="List2"/>
    <w:rsid w:val="00ED40CD"/>
    <w:pPr>
      <w:numPr>
        <w:numId w:val="6"/>
      </w:numPr>
    </w:pPr>
  </w:style>
  <w:style w:type="paragraph" w:styleId="List2">
    <w:name w:val="List 2"/>
    <w:basedOn w:val="BodyText"/>
    <w:rsid w:val="00ED40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40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40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40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40C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40C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D40CD"/>
    <w:pPr>
      <w:numPr>
        <w:numId w:val="2"/>
      </w:numPr>
    </w:pPr>
  </w:style>
  <w:style w:type="paragraph" w:styleId="ListContinue2">
    <w:name w:val="List Continue 2"/>
    <w:basedOn w:val="List2"/>
    <w:rsid w:val="00ED40CD"/>
    <w:pPr>
      <w:ind w:firstLine="0"/>
    </w:pPr>
  </w:style>
  <w:style w:type="paragraph" w:styleId="ListContinue3">
    <w:name w:val="List Continue 3"/>
    <w:basedOn w:val="List3"/>
    <w:rsid w:val="00ED40CD"/>
    <w:pPr>
      <w:ind w:left="1021" w:firstLine="0"/>
    </w:pPr>
  </w:style>
  <w:style w:type="paragraph" w:styleId="ListContinue4">
    <w:name w:val="List Continue 4"/>
    <w:basedOn w:val="List4"/>
    <w:rsid w:val="00ED40CD"/>
    <w:pPr>
      <w:ind w:firstLine="0"/>
    </w:pPr>
  </w:style>
  <w:style w:type="paragraph" w:styleId="ListContinue5">
    <w:name w:val="List Continue 5"/>
    <w:basedOn w:val="List5"/>
    <w:rsid w:val="00ED40CD"/>
    <w:pPr>
      <w:ind w:firstLine="0"/>
    </w:pPr>
  </w:style>
  <w:style w:type="paragraph" w:styleId="ListNumber3">
    <w:name w:val="List Number 3"/>
    <w:basedOn w:val="List3"/>
    <w:rsid w:val="00ED40CD"/>
    <w:pPr>
      <w:numPr>
        <w:numId w:val="3"/>
      </w:numPr>
    </w:pPr>
  </w:style>
  <w:style w:type="paragraph" w:styleId="ListNumber4">
    <w:name w:val="List Number 4"/>
    <w:basedOn w:val="List4"/>
    <w:rsid w:val="00ED40CD"/>
    <w:pPr>
      <w:numPr>
        <w:numId w:val="4"/>
      </w:numPr>
    </w:pPr>
  </w:style>
  <w:style w:type="paragraph" w:styleId="ListNumber5">
    <w:name w:val="List Number 5"/>
    <w:basedOn w:val="List5"/>
    <w:rsid w:val="00ED40CD"/>
    <w:pPr>
      <w:numPr>
        <w:numId w:val="5"/>
      </w:numPr>
    </w:pPr>
  </w:style>
  <w:style w:type="paragraph" w:styleId="BlockText">
    <w:name w:val="Block Text"/>
    <w:basedOn w:val="Normal"/>
    <w:rsid w:val="00ED40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40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40CD"/>
    <w:rPr>
      <w:sz w:val="16"/>
      <w:vertAlign w:val="superscript"/>
    </w:rPr>
  </w:style>
  <w:style w:type="character" w:customStyle="1" w:styleId="Symbols">
    <w:name w:val="Symbols"/>
    <w:basedOn w:val="DefaultParagraphFont"/>
    <w:rsid w:val="00ED40CD"/>
    <w:rPr>
      <w:rFonts w:ascii="Symbol" w:hAnsi="Symbol"/>
    </w:rPr>
  </w:style>
  <w:style w:type="character" w:customStyle="1" w:styleId="MenuOptions">
    <w:name w:val="Menu Options"/>
    <w:basedOn w:val="DefaultParagraphFont"/>
    <w:rsid w:val="00ED40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40CD"/>
    <w:rPr>
      <w:b/>
    </w:rPr>
  </w:style>
  <w:style w:type="character" w:customStyle="1" w:styleId="Underlined">
    <w:name w:val="Underlined"/>
    <w:basedOn w:val="DefaultParagraphFont"/>
    <w:rsid w:val="00ED40CD"/>
    <w:rPr>
      <w:u w:val="single"/>
    </w:rPr>
  </w:style>
  <w:style w:type="paragraph" w:customStyle="1" w:styleId="TableBodyTextRight">
    <w:name w:val="Table Body Text Right"/>
    <w:basedOn w:val="TableBodyText"/>
    <w:rsid w:val="00ED40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40CD"/>
    <w:rPr>
      <w:sz w:val="18"/>
    </w:rPr>
  </w:style>
  <w:style w:type="paragraph" w:customStyle="1" w:styleId="BodySmallRight">
    <w:name w:val="Body Small Right"/>
    <w:basedOn w:val="BodyTextRight"/>
    <w:rsid w:val="00ED40CD"/>
    <w:rPr>
      <w:sz w:val="18"/>
      <w:szCs w:val="18"/>
    </w:rPr>
  </w:style>
  <w:style w:type="paragraph" w:customStyle="1" w:styleId="MarginEdition">
    <w:name w:val="Margin Edition"/>
    <w:basedOn w:val="MarginNote"/>
    <w:rsid w:val="00ED40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40CD"/>
    <w:rPr>
      <w:sz w:val="2"/>
      <w:szCs w:val="2"/>
    </w:rPr>
  </w:style>
  <w:style w:type="character" w:customStyle="1" w:styleId="Small">
    <w:name w:val="Small"/>
    <w:basedOn w:val="DefaultParagraphFont"/>
    <w:rsid w:val="00ED40CD"/>
    <w:rPr>
      <w:sz w:val="16"/>
    </w:rPr>
  </w:style>
  <w:style w:type="paragraph" w:customStyle="1" w:styleId="WideTable">
    <w:name w:val="Wide Table"/>
    <w:basedOn w:val="Normal"/>
    <w:rsid w:val="00ED40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40CD"/>
  </w:style>
  <w:style w:type="paragraph" w:styleId="Quote">
    <w:name w:val="Quote"/>
    <w:basedOn w:val="Heading1"/>
    <w:link w:val="QuoteChar"/>
    <w:qFormat/>
    <w:rsid w:val="00ED40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40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40CD"/>
    <w:pPr>
      <w:pageBreakBefore/>
    </w:pPr>
  </w:style>
  <w:style w:type="paragraph" w:customStyle="1" w:styleId="Border">
    <w:name w:val="Border"/>
    <w:basedOn w:val="Normal"/>
    <w:qFormat/>
    <w:rsid w:val="00ED40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40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0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0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40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40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40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40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40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40CD"/>
    <w:rPr>
      <w:u w:val="single"/>
    </w:rPr>
  </w:style>
  <w:style w:type="character" w:customStyle="1" w:styleId="BoldandItalics">
    <w:name w:val="Bold and Italics"/>
    <w:qFormat/>
    <w:rsid w:val="00ED40CD"/>
    <w:rPr>
      <w:b/>
      <w:i/>
      <w:u w:val="none"/>
    </w:rPr>
  </w:style>
  <w:style w:type="paragraph" w:styleId="BalloonText">
    <w:name w:val="Balloon Text"/>
    <w:basedOn w:val="Normal"/>
    <w:link w:val="BalloonTextChar"/>
    <w:rsid w:val="00ED40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40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40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40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40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40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40CD"/>
    <w:pPr>
      <w:spacing w:before="0" w:after="0"/>
    </w:pPr>
  </w:style>
  <w:style w:type="paragraph" w:customStyle="1" w:styleId="BodyTextBold">
    <w:name w:val="Body Text Bold"/>
    <w:basedOn w:val="BodyText"/>
    <w:qFormat/>
    <w:rsid w:val="00ED40CD"/>
    <w:rPr>
      <w:b/>
    </w:rPr>
  </w:style>
  <w:style w:type="character" w:styleId="Hyperlink">
    <w:name w:val="Hyperlink"/>
    <w:basedOn w:val="DefaultParagraphFont"/>
    <w:uiPriority w:val="99"/>
    <w:unhideWhenUsed/>
    <w:rsid w:val="002873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368</Words>
  <Characters>2303</Characters>
  <Application>Microsoft Office Word</Application>
  <DocSecurity>0</DocSecurity>
  <Lines>85</Lines>
  <Paragraphs>55</Paragraphs>
  <ScaleCrop>false</ScaleCrop>
  <Company>Author-it Software Corporation Ltd.</Company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AMPG302 Eviscerate, inspect and tag wild game carcase in the field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2025-02-21T07:05:00Z</dcterms:created>
  <dcterms:modified xsi:type="dcterms:W3CDTF">2025-02-21T07:05:00Z</dcterms:modified>
</cp:coreProperties>
</file>