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4.0 -->
  <w:body>
    <w:p w:rsidR="00113C48" w:rsidRPr="00113C48" w:rsidP="00FA4076" w14:paraId="2979BD29" w14:textId="082047C8">
      <w:pPr>
        <w:pStyle w:val="Title-TOCExcluded"/>
        <w:spacing w:before="5200" w:after="120"/>
        <w:sectPr w:rsidSect="00F31508">
          <w:headerReference w:type="default" r:id="rId5"/>
          <w:footerReference w:type="default" r:id="rId6"/>
          <w:pgSz w:w="11906" w:h="16838"/>
          <w:pgMar w:top="1701" w:right="1418" w:bottom="1701" w:left="1418" w:header="709" w:footer="709" w:gutter="0"/>
          <w:cols w:space="708"/>
          <w:docGrid w:linePitch="360"/>
        </w:sectPr>
      </w:pPr>
      <w:bookmarkStart w:id="0" w:name="_Toc184217249"/>
      <w:bookmarkStart w:id="1" w:name="_Toc184220964"/>
      <w:r w:rsidRPr="00262572">
        <w:t>AMPCRP225 Assess dentition</w:t>
      </w:r>
      <w:bookmarkEnd w:id="0"/>
      <w:bookmarkEnd w:id="1"/>
    </w:p>
    <w:p w:rsidR="00D44002" w:rsidRPr="00F31CE3" w:rsidP="00F31CE3" w14:paraId="160C8F32" w14:textId="3B105B63">
      <w:pPr>
        <w:pStyle w:val="ChapterTitle"/>
      </w:pPr>
      <w:bookmarkStart w:id="2" w:name="AMPCRP225"/>
      <w:r w:rsidRPr="00F31CE3">
        <w:t>AMPCRP225 Assess dentition</w:t>
      </w:r>
    </w:p>
    <w:p w:rsidR="00D44002" w:rsidRPr="00F31CE3" w:rsidP="00F31CE3">
      <w:pPr>
        <w:pStyle w:val="Heading1"/>
      </w:pPr>
      <w:bookmarkEnd w:id="2"/>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Application</w:t>
      </w:r>
    </w:p>
    <w:p w:rsidR="00D44002" w:rsidRPr="00F31CE3" w:rsidP="00F31CE3">
      <w:r w:rsidRPr="00F31CE3">
        <w:t>This unit describes the skills and knowledge required to assess dentition of an animal or carcase and record the results.</w:t>
      </w:r>
    </w:p>
    <w:p w:rsidR="00D44002" w:rsidRPr="00F31CE3" w:rsidP="00F31CE3">
      <w:r w:rsidRPr="00F31CE3">
        <w:t>This unit applies to individuals who work under general supervision in a meat processing premises.</w:t>
      </w:r>
    </w:p>
    <w:p w:rsidR="00D44002" w:rsidRPr="00F31CE3" w:rsidP="00F31CE3">
      <w:r w:rsidRPr="00F31CE3">
        <w:t>All work must be carried out to comply with workplace procedures, according to state/territory health and safety and food safety regulations, legislation and standards that apply to the workplace.</w:t>
      </w:r>
    </w:p>
    <w:p w:rsidR="00D44002" w:rsidRPr="00F31CE3" w:rsidP="00F31CE3">
      <w:r w:rsidRPr="00F31CE3">
        <w:t>Mandatory workplace requirements apply to the assessment of this unit.</w:t>
      </w:r>
    </w:p>
    <w:p w:rsidR="00D44002" w:rsidRPr="00F31CE3" w:rsidP="00F31CE3">
      <w:pPr>
        <w:pStyle w:val="Heading1"/>
      </w:pPr>
      <w:r w:rsidRPr="00F31CE3">
        <w:t>Licensing/Regulatory Information</w:t>
      </w:r>
    </w:p>
    <w:p w:rsidR="00D44002" w:rsidRPr="00F31CE3" w:rsidP="00F31CE3">
      <w:r w:rsidRPr="00F31CE3">
        <w:t>No licensing, legislative or certification requirements apply to this unit at the time of publication.</w:t>
      </w:r>
    </w:p>
    <w:p w:rsidR="00D44002" w:rsidRPr="00F31CE3" w:rsidP="00F31CE3">
      <w:pPr>
        <w:pStyle w:val="Heading1"/>
      </w:pPr>
      <w:r w:rsidRPr="00F31CE3">
        <w:t>Pre-requisite unit(s)</w:t>
      </w:r>
    </w:p>
    <w:p w:rsidR="00D44002" w:rsidRPr="00F31CE3" w:rsidP="00F31CE3">
      <w:r w:rsidRPr="00F31CE3">
        <w:t>Nil.</w:t>
      </w:r>
    </w:p>
    <w:p w:rsidR="00D44002" w:rsidRPr="00F31CE3" w:rsidP="00F31CE3">
      <w:pPr>
        <w:pStyle w:val="Heading1"/>
      </w:pPr>
      <w:r w:rsidRPr="00F31CE3">
        <w:t>Competency field(s)</w:t>
      </w:r>
    </w:p>
    <w:p w:rsidR="00D44002" w:rsidRPr="00F31CE3" w:rsidP="00F31CE3">
      <w:r w:rsidRPr="00F31CE3">
        <w:t>N/A</w:t>
      </w:r>
    </w:p>
    <w:p w:rsidR="00D44002" w:rsidRPr="00F31CE3" w:rsidP="00F31CE3">
      <w:pPr>
        <w:pStyle w:val="Heading1"/>
      </w:pPr>
      <w:r w:rsidRPr="00F31CE3">
        <w:t>Unit sector(s)</w:t>
      </w:r>
    </w:p>
    <w:p w:rsidR="00D44002" w:rsidRPr="00F31CE3" w:rsidP="00F31CE3">
      <w:r w:rsidRPr="00F31CE3">
        <w:t>Carcase Processing (CRP)</w:t>
      </w:r>
    </w:p>
    <w:p w:rsidR="00D44002" w:rsidRPr="00F31CE3" w:rsidP="00F31CE3">
      <w:pPr>
        <w:pStyle w:val="Heading1"/>
      </w:pPr>
      <w:r w:rsidRPr="00F31CE3">
        <w:t>Elements and Performance Criteria</w:t>
      </w:r>
    </w:p>
    <w:tbl>
      <w:tblPr>
        <w:tblStyle w:val="TableGrid"/>
        <w:tblW w:w="5000" w:type="pct"/>
        <w:jc w:val="left"/>
      </w:tblPr>
      <w:tblGrid>
        <w:gridCol w:w="2842"/>
        <w:gridCol w:w="6218"/>
      </w:tblGrid>
      <w:tr>
        <w:tblPrEx>
          <w:tblW w:w="5000" w:type="pct"/>
        </w:tblPrEx>
        <w:tc>
          <w:tcPr>
            <w:tcW w:w="0" w:type="auto"/>
          </w:tcPr>
          <w:p w:rsidR="00D44002" w:rsidRPr="00F31CE3" w:rsidP="00F31CE3">
            <w:pPr>
              <w:jc w:val="left"/>
              <w:rPr>
                <w:b/>
                <w:bCs/>
              </w:rPr>
            </w:pPr>
            <w:r w:rsidRPr="00F31CE3">
              <w:rPr>
                <w:rStyle w:val="Strong"/>
              </w:rPr>
              <w:t>Element</w:t>
            </w:r>
          </w:p>
        </w:tc>
        <w:tc>
          <w:tcPr>
            <w:tcW w:w="0" w:type="auto"/>
          </w:tcPr>
          <w:p w:rsidR="00D44002" w:rsidRPr="00F31CE3" w:rsidP="00F31CE3">
            <w:pPr>
              <w:jc w:val="left"/>
              <w:rPr>
                <w:b/>
                <w:bCs/>
              </w:rPr>
            </w:pPr>
            <w:r w:rsidRPr="00F31CE3">
              <w:rPr>
                <w:rStyle w:val="Strong"/>
              </w:rPr>
              <w:t>Performance criteria</w:t>
            </w:r>
          </w:p>
        </w:tc>
      </w:tr>
      <w:tr>
        <w:tblPrEx>
          <w:tblW w:w="5000" w:type="pct"/>
        </w:tblPrEx>
        <w:tc>
          <w:tcPr>
            <w:tcW w:w="0" w:type="auto"/>
          </w:tcPr>
          <w:p w:rsidR="00D44002" w:rsidRPr="00F31CE3" w:rsidP="00F31CE3">
            <w:r w:rsidRPr="00F31CE3">
              <w:t>Elements describe the essential outcomes.</w:t>
            </w:r>
          </w:p>
        </w:tc>
        <w:tc>
          <w:tcPr>
            <w:tcW w:w="0" w:type="auto"/>
          </w:tcPr>
          <w:p w:rsidR="00D44002" w:rsidRPr="00F31CE3" w:rsidP="00F31CE3">
            <w:r w:rsidRPr="00F31CE3">
              <w:t>Performance criteria describe the performance needed to demonstrate achievement of the element.</w:t>
            </w:r>
          </w:p>
        </w:tc>
      </w:tr>
      <w:tr>
        <w:tblPrEx>
          <w:tblW w:w="5000" w:type="pct"/>
        </w:tblPrEx>
        <w:tc>
          <w:tcPr>
            <w:tcW w:w="0" w:type="auto"/>
          </w:tcPr>
          <w:p w:rsidR="00D44002" w:rsidRPr="00F31CE3" w:rsidP="00F31CE3">
            <w:r w:rsidRPr="00F31CE3">
              <w:t>1. Prepare for work</w:t>
            </w:r>
          </w:p>
        </w:tc>
        <w:tc>
          <w:tcPr>
            <w:tcW w:w="0" w:type="auto"/>
          </w:tcPr>
          <w:p w:rsidR="00D44002" w:rsidRPr="00F31CE3" w:rsidP="00F31CE3">
            <w:r w:rsidRPr="00F31CE3">
              <w:t>1.1 Identify work instruction for assessing dentition</w:t>
            </w:r>
          </w:p>
          <w:p w:rsidR="00D44002" w:rsidRPr="00F31CE3" w:rsidP="00F31CE3">
            <w:r w:rsidRPr="00F31CE3">
              <w:t>1.2 Identify workplace health and safety requirements for task, including personal protective equipment</w:t>
            </w:r>
          </w:p>
          <w:p w:rsidR="00D44002" w:rsidRPr="00F31CE3" w:rsidP="00F31CE3">
            <w:r w:rsidRPr="00F31CE3">
              <w:t>1.3 Identify possible sources of contamination and cross-contamination for task</w:t>
            </w:r>
          </w:p>
        </w:tc>
      </w:tr>
      <w:tr>
        <w:tblPrEx>
          <w:tblW w:w="5000" w:type="pct"/>
        </w:tblPrEx>
        <w:tc>
          <w:tcPr>
            <w:tcW w:w="0" w:type="auto"/>
          </w:tcPr>
          <w:p w:rsidR="00D44002" w:rsidRPr="00F31CE3" w:rsidP="00F31CE3">
            <w:r w:rsidRPr="00F31CE3">
              <w:t>2. Expose teeth</w:t>
            </w:r>
          </w:p>
        </w:tc>
        <w:tc>
          <w:tcPr>
            <w:tcW w:w="0" w:type="auto"/>
          </w:tcPr>
          <w:p w:rsidR="00D44002" w:rsidRPr="00F31CE3" w:rsidP="00F31CE3">
            <w:r w:rsidRPr="00F31CE3">
              <w:t>2.1 Assess teeth to workplace and workplace health and safety requirements</w:t>
            </w:r>
          </w:p>
          <w:p w:rsidR="00D44002" w:rsidRPr="00F31CE3" w:rsidP="00F31CE3">
            <w:r w:rsidRPr="00F31CE3">
              <w:t>2.2 Expose all incisor teeth</w:t>
            </w:r>
          </w:p>
          <w:p w:rsidR="00D44002" w:rsidRPr="00F31CE3" w:rsidP="00F31CE3">
            <w:r w:rsidRPr="00F31CE3">
              <w:t>2.3 Differentiate permanent incisors from milk teeth</w:t>
            </w:r>
          </w:p>
          <w:p w:rsidR="00D44002" w:rsidRPr="00F31CE3" w:rsidP="00F31CE3">
            <w:r w:rsidRPr="00F31CE3">
              <w:t>2.4 Count the number of permanent incisors following workplace requirements</w:t>
            </w:r>
          </w:p>
        </w:tc>
      </w:tr>
      <w:tr>
        <w:tblPrEx>
          <w:tblW w:w="5000" w:type="pct"/>
        </w:tblPrEx>
        <w:tc>
          <w:tcPr>
            <w:tcW w:w="0" w:type="auto"/>
          </w:tcPr>
          <w:p w:rsidR="00D44002" w:rsidRPr="00F31CE3" w:rsidP="00F31CE3">
            <w:r w:rsidRPr="00F31CE3">
              <w:t>3. Record the dentition</w:t>
            </w:r>
          </w:p>
        </w:tc>
        <w:tc>
          <w:tcPr>
            <w:tcW w:w="0" w:type="auto"/>
          </w:tcPr>
          <w:p w:rsidR="00D44002" w:rsidRPr="00F31CE3" w:rsidP="00F31CE3">
            <w:r w:rsidRPr="00F31CE3">
              <w:t>3.1 Identify the number of permanent incisor teeth</w:t>
            </w:r>
          </w:p>
          <w:p w:rsidR="00D44002" w:rsidRPr="00F31CE3" w:rsidP="00F31CE3">
            <w:r w:rsidRPr="00F31CE3">
              <w:t>3.2 Record dentition or mark carcase following workplace requirements</w:t>
            </w:r>
          </w:p>
        </w:tc>
      </w:tr>
    </w:tbl>
    <w:p w:rsidR="00D44002" w:rsidRPr="00F31CE3" w:rsidP="00F31CE3">
      <w:pPr>
        <w:pStyle w:val="Heading1"/>
      </w:pPr>
      <w:r w:rsidRPr="00F31CE3">
        <w:t>Foundation Skills</w:t>
      </w:r>
    </w:p>
    <w:p w:rsidR="00D44002" w:rsidRPr="00F31CE3" w:rsidP="00F31CE3">
      <w:r w:rsidRPr="00F31CE3">
        <w:rPr>
          <w:i/>
          <w:iCs/>
        </w:rPr>
        <w:t>This section describes those language, literacy, numeracy and employment skills that are essential for performance in this unit of competency but are not explicit in the performance criteria.</w:t>
      </w:r>
    </w:p>
    <w:tbl>
      <w:tblPr>
        <w:tblStyle w:val="TableGrid"/>
        <w:tblW w:w="5000" w:type="pct"/>
        <w:jc w:val="left"/>
      </w:tblPr>
      <w:tblGrid>
        <w:gridCol w:w="1216"/>
        <w:gridCol w:w="7844"/>
      </w:tblGrid>
      <w:tr>
        <w:tblPrEx>
          <w:tblW w:w="5000" w:type="pct"/>
        </w:tblPrEx>
        <w:tc>
          <w:tcPr>
            <w:tcW w:w="0" w:type="auto"/>
          </w:tcPr>
          <w:p w:rsidR="00D44002" w:rsidRPr="00F31CE3" w:rsidP="00F31CE3">
            <w:pPr>
              <w:jc w:val="left"/>
            </w:pPr>
            <w:r w:rsidRPr="00F31CE3">
              <w:rPr>
                <w:rStyle w:val="Strong"/>
              </w:rPr>
              <w:t>Skill</w:t>
            </w:r>
          </w:p>
        </w:tc>
        <w:tc>
          <w:tcPr>
            <w:tcW w:w="0" w:type="auto"/>
          </w:tcPr>
          <w:p w:rsidR="00D44002" w:rsidRPr="00F31CE3" w:rsidP="00F31CE3">
            <w:pPr>
              <w:jc w:val="left"/>
            </w:pPr>
            <w:r w:rsidRPr="00F31CE3">
              <w:rPr>
                <w:rStyle w:val="Strong"/>
              </w:rPr>
              <w:t>Description</w:t>
            </w:r>
          </w:p>
        </w:tc>
      </w:tr>
      <w:tr>
        <w:tblPrEx>
          <w:tblW w:w="5000" w:type="pct"/>
        </w:tblPrEx>
        <w:tc>
          <w:tcPr>
            <w:tcW w:w="0" w:type="auto"/>
          </w:tcPr>
          <w:p w:rsidR="00D44002" w:rsidRPr="00F31CE3" w:rsidP="00F31CE3">
            <w:r w:rsidRPr="00F31CE3">
              <w:t>Reading</w:t>
            </w:r>
          </w:p>
        </w:tc>
        <w:tc>
          <w:tcPr>
            <w:tcW w:w="0" w:type="auto"/>
          </w:tcPr>
          <w:p w:rsidR="00D44002" w:rsidRPr="00F31CE3" w:rsidP="00F31CE3">
            <w:pPr>
              <w:numPr>
                <w:ilvl w:val="0"/>
                <w:numId w:val="2"/>
              </w:numPr>
              <w:ind w:left="720" w:hanging="360"/>
              <w:jc w:val="left"/>
            </w:pPr>
            <w:r w:rsidRPr="00F31CE3">
              <w:t>Interpret key elements of workplace requirements for assessing dentition</w:t>
            </w:r>
          </w:p>
        </w:tc>
      </w:tr>
      <w:tr>
        <w:tblPrEx>
          <w:tblW w:w="5000" w:type="pct"/>
        </w:tblPrEx>
        <w:tc>
          <w:tcPr>
            <w:tcW w:w="0" w:type="auto"/>
          </w:tcPr>
          <w:p w:rsidR="00D44002" w:rsidRPr="00F31CE3" w:rsidP="00F31CE3">
            <w:r w:rsidRPr="00F31CE3">
              <w:t>Numeracy</w:t>
            </w:r>
          </w:p>
        </w:tc>
        <w:tc>
          <w:tcPr>
            <w:tcW w:w="0" w:type="auto"/>
          </w:tcPr>
          <w:p w:rsidR="00D44002" w:rsidRPr="00F31CE3" w:rsidP="00F31CE3">
            <w:pPr>
              <w:numPr>
                <w:ilvl w:val="0"/>
                <w:numId w:val="3"/>
              </w:numPr>
              <w:ind w:left="720" w:hanging="360"/>
              <w:jc w:val="left"/>
            </w:pPr>
            <w:r w:rsidRPr="00F31CE3">
              <w:t>Count teeth</w:t>
            </w:r>
          </w:p>
        </w:tc>
      </w:tr>
    </w:tbl>
    <w:p w:rsidR="00D44002" w:rsidRPr="00F31CE3" w:rsidP="00F31CE3">
      <w:pPr>
        <w:pStyle w:val="Heading1"/>
      </w:pPr>
      <w:r w:rsidRPr="00F31CE3">
        <w:t>Range of conditions</w:t>
      </w:r>
    </w:p>
    <w:p w:rsidR="00D44002" w:rsidRPr="00F31CE3" w:rsidP="00F31CE3">
      <w:r w:rsidRPr="00F31CE3">
        <w:rPr>
          <w:i/>
          <w:iCs/>
        </w:rPr>
        <w:t>This section specifies different work environments and conditions in which the task may be performed.</w:t>
      </w:r>
    </w:p>
    <w:p w:rsidR="00D44002" w:rsidRPr="00F31CE3" w:rsidP="00F31CE3">
      <w:r w:rsidRPr="00F31CE3">
        <w:rPr>
          <w:i/>
          <w:iCs/>
        </w:rPr>
        <w:t>This unit must be delivered in one of the following registered meat processing work environments.</w:t>
      </w:r>
    </w:p>
    <w:tbl>
      <w:tblPr>
        <w:tblStyle w:val="TableGrid"/>
        <w:tblW w:w="5000" w:type="pct"/>
        <w:jc w:val="left"/>
      </w:tblPr>
      <w:tblGrid>
        <w:gridCol w:w="2352"/>
        <w:gridCol w:w="6708"/>
      </w:tblGrid>
      <w:tr>
        <w:tblPrEx>
          <w:tblW w:w="5000" w:type="pct"/>
        </w:tblPrEx>
        <w:tc>
          <w:tcPr>
            <w:tcW w:w="0" w:type="auto"/>
          </w:tcPr>
          <w:p w:rsidR="00D44002" w:rsidRPr="00F31CE3" w:rsidP="00F31CE3">
            <w:pPr>
              <w:jc w:val="left"/>
            </w:pPr>
            <w:r w:rsidRPr="00F31CE3">
              <w:t>Micro meat processing premises</w:t>
            </w:r>
          </w:p>
        </w:tc>
        <w:tc>
          <w:tcPr>
            <w:tcW w:w="0" w:type="auto"/>
          </w:tcPr>
          <w:p w:rsidR="00D44002" w:rsidRPr="00F31CE3" w:rsidP="00F31CE3">
            <w:pPr>
              <w:numPr>
                <w:ilvl w:val="0"/>
                <w:numId w:val="4"/>
              </w:numPr>
              <w:ind w:left="720" w:hanging="360"/>
              <w:jc w:val="left"/>
            </w:pPr>
            <w:r w:rsidRPr="00F31CE3">
              <w:t>operating fewer than four days a week with a small throughput for one or more, small or large, species, or</w:t>
            </w:r>
          </w:p>
          <w:p w:rsidR="00D44002" w:rsidRPr="00F31CE3" w:rsidP="00F31CE3">
            <w:pPr>
              <w:numPr>
                <w:ilvl w:val="0"/>
                <w:numId w:val="4"/>
              </w:numPr>
              <w:ind w:left="720" w:hanging="360"/>
              <w:jc w:val="left"/>
            </w:pPr>
            <w:r w:rsidRPr="00F31CE3">
              <w:t>employing fewer than four workers on the processing floor</w:t>
            </w:r>
          </w:p>
        </w:tc>
      </w:tr>
      <w:tr>
        <w:tblPrEx>
          <w:tblW w:w="5000" w:type="pct"/>
        </w:tblPrEx>
        <w:tc>
          <w:tcPr>
            <w:tcW w:w="0" w:type="auto"/>
          </w:tcPr>
          <w:p w:rsidR="00D44002" w:rsidRPr="00F31CE3" w:rsidP="00F31CE3">
            <w:r w:rsidRPr="00F31CE3">
              <w:t>Larger meat processing premises</w:t>
            </w:r>
          </w:p>
        </w:tc>
        <w:tc>
          <w:tcPr>
            <w:tcW w:w="0" w:type="auto"/>
          </w:tcPr>
          <w:p w:rsidR="00D44002" w:rsidRPr="00F31CE3" w:rsidP="00F31CE3">
            <w:pPr>
              <w:numPr>
                <w:ilvl w:val="0"/>
                <w:numId w:val="5"/>
              </w:numPr>
              <w:ind w:left="720" w:hanging="360"/>
              <w:jc w:val="left"/>
            </w:pPr>
            <w:r w:rsidRPr="00F31CE3">
              <w:t>operating more than four days a week with a throughput for one or more, small or large, species, or</w:t>
            </w:r>
          </w:p>
          <w:p w:rsidR="00D44002" w:rsidRPr="00F31CE3" w:rsidP="00F31CE3">
            <w:pPr>
              <w:numPr>
                <w:ilvl w:val="0"/>
                <w:numId w:val="5"/>
              </w:numPr>
              <w:ind w:left="720" w:hanging="360"/>
              <w:jc w:val="left"/>
            </w:pPr>
            <w:r w:rsidRPr="00F31CE3">
              <w:t>employing more than four workers on the processing floor</w:t>
            </w:r>
          </w:p>
        </w:tc>
      </w:tr>
    </w:tbl>
    <w:p w:rsidR="00D44002" w:rsidRPr="00F31CE3" w:rsidP="00F31CE3">
      <w:pPr>
        <w:pStyle w:val="Heading1"/>
      </w:pPr>
      <w:r w:rsidRPr="00F31CE3">
        <w:t>Unit Mapping Information</w:t>
      </w:r>
    </w:p>
    <w:tbl>
      <w:tblPr>
        <w:tblStyle w:val="TableGrid"/>
        <w:tblW w:w="5000" w:type="pct"/>
        <w:jc w:val="left"/>
      </w:tblPr>
      <w:tblGrid>
        <w:gridCol w:w="2265"/>
        <w:gridCol w:w="2265"/>
        <w:gridCol w:w="2265"/>
        <w:gridCol w:w="2265"/>
      </w:tblGrid>
      <w:tr>
        <w:tblPrEx>
          <w:tblW w:w="5000" w:type="pct"/>
        </w:tblPrEx>
        <w:tc>
          <w:tcPr>
            <w:tcW w:w="2268" w:type="dxa"/>
            <w:noWrap w:val="0"/>
            <w:tcMar>
              <w:top w:w="0" w:type="dxa"/>
              <w:left w:w="108" w:type="dxa"/>
              <w:bottom w:w="0" w:type="dxa"/>
              <w:right w:w="108" w:type="dxa"/>
            </w:tcMar>
            <w:hideMark/>
          </w:tcPr>
          <w:p w:rsidR="00D44002" w:rsidRPr="00F31CE3" w:rsidP="00F31CE3">
            <w:r w:rsidRPr="00F31CE3">
              <w:t>Current Code and Title</w:t>
            </w:r>
          </w:p>
        </w:tc>
        <w:tc>
          <w:tcPr>
            <w:tcW w:w="2268" w:type="dxa"/>
            <w:noWrap w:val="0"/>
            <w:tcMar>
              <w:top w:w="0" w:type="dxa"/>
              <w:left w:w="108" w:type="dxa"/>
              <w:bottom w:w="0" w:type="dxa"/>
              <w:right w:w="108" w:type="dxa"/>
            </w:tcMar>
            <w:hideMark/>
          </w:tcPr>
          <w:p w:rsidR="00D44002" w:rsidRPr="00F31CE3" w:rsidP="00F31CE3">
            <w:r w:rsidRPr="00F31CE3">
              <w:t>Previous Code and Title</w:t>
            </w:r>
          </w:p>
        </w:tc>
        <w:tc>
          <w:tcPr>
            <w:tcW w:w="2268" w:type="dxa"/>
            <w:noWrap w:val="0"/>
            <w:tcMar>
              <w:top w:w="0" w:type="dxa"/>
              <w:left w:w="108" w:type="dxa"/>
              <w:bottom w:w="0" w:type="dxa"/>
              <w:right w:w="108" w:type="dxa"/>
            </w:tcMar>
            <w:hideMark/>
          </w:tcPr>
          <w:p w:rsidR="00D44002" w:rsidRPr="00F31CE3" w:rsidP="00F31CE3">
            <w:r w:rsidRPr="00F31CE3">
              <w:t>Comments</w:t>
            </w:r>
          </w:p>
        </w:tc>
        <w:tc>
          <w:tcPr>
            <w:tcW w:w="2268" w:type="dxa"/>
            <w:noWrap w:val="0"/>
            <w:tcMar>
              <w:top w:w="0" w:type="dxa"/>
              <w:left w:w="108" w:type="dxa"/>
              <w:bottom w:w="0" w:type="dxa"/>
              <w:right w:w="108" w:type="dxa"/>
            </w:tcMar>
            <w:hideMark/>
          </w:tcPr>
          <w:p w:rsidR="00D44002" w:rsidRPr="00F31CE3" w:rsidP="00F31CE3">
            <w:r w:rsidRPr="00F31CE3">
              <w:t>Equivalence</w:t>
            </w:r>
          </w:p>
        </w:tc>
      </w:tr>
      <w:tr>
        <w:tblPrEx>
          <w:tblW w:w="5000" w:type="pct"/>
        </w:tblPrEx>
        <w:tc>
          <w:tcPr>
            <w:tcW w:w="2268" w:type="dxa"/>
            <w:noWrap w:val="0"/>
            <w:tcMar>
              <w:top w:w="0" w:type="dxa"/>
              <w:left w:w="108" w:type="dxa"/>
              <w:bottom w:w="0" w:type="dxa"/>
              <w:right w:w="108" w:type="dxa"/>
            </w:tcMar>
            <w:hideMark/>
          </w:tcPr>
          <w:p w:rsidR="00D44002" w:rsidRPr="00F31CE3" w:rsidP="00F31CE3">
            <w:r w:rsidRPr="00F31CE3">
              <w:t>AMPCRP225 Assess dentition</w:t>
            </w:r>
          </w:p>
        </w:tc>
        <w:tc>
          <w:tcPr>
            <w:tcW w:w="2268" w:type="dxa"/>
            <w:noWrap w:val="0"/>
            <w:tcMar>
              <w:top w:w="0" w:type="dxa"/>
              <w:left w:w="108" w:type="dxa"/>
              <w:bottom w:w="0" w:type="dxa"/>
              <w:right w:w="108" w:type="dxa"/>
            </w:tcMar>
            <w:hideMark/>
          </w:tcPr>
          <w:p w:rsidR="00D44002" w:rsidRPr="00F31CE3" w:rsidP="00F31CE3">
            <w:r w:rsidRPr="00F31CE3">
              <w:t>AMPA2080 Assess dentition</w:t>
            </w:r>
          </w:p>
        </w:tc>
        <w:tc>
          <w:tcPr>
            <w:tcW w:w="2268" w:type="dxa"/>
            <w:noWrap w:val="0"/>
            <w:tcMar>
              <w:top w:w="0" w:type="dxa"/>
              <w:left w:w="108" w:type="dxa"/>
              <w:bottom w:w="0" w:type="dxa"/>
              <w:right w:w="108" w:type="dxa"/>
            </w:tcMar>
            <w:hideMark/>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Unit code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sector code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Unit application updated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Performance Criteria clarified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Foundation Skills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Range of Conditions added</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Assessment Requirements re-worded for clarity</w:t>
            </w:r>
          </w:p>
          <w:p>
            <w:pPr>
              <w:spacing w:before="240" w:after="240" w:line="240" w:lineRule="auto"/>
              <w:rPr>
                <w:rFonts w:eastAsia="Times New Roman"/>
                <w:kern w:val="0"/>
                <w14:ligatures w14:val="none"/>
              </w:rPr>
            </w:pPr>
            <w:r>
              <w:rPr>
                <w:rFonts w:ascii="Times New Roman" w:eastAsia="Times New Roman" w:hAnsi="Times New Roman" w:cs="Times New Roman"/>
                <w:kern w:val="0"/>
                <w14:ligatures w14:val="none"/>
              </w:rPr>
              <w:t>Mandatory workplace requirements clarified</w:t>
            </w:r>
          </w:p>
          <w:p w:rsidR="00D44002" w:rsidRPr="00F31CE3" w:rsidP="00F31CE3"/>
        </w:tc>
        <w:tc>
          <w:tcPr>
            <w:tcW w:w="2268" w:type="dxa"/>
            <w:noWrap w:val="0"/>
            <w:tcMar>
              <w:top w:w="0" w:type="dxa"/>
              <w:left w:w="108" w:type="dxa"/>
              <w:bottom w:w="0" w:type="dxa"/>
              <w:right w:w="108" w:type="dxa"/>
            </w:tcMar>
            <w:hideMark/>
          </w:tcPr>
          <w:p w:rsidR="00D44002" w:rsidRPr="00F31CE3" w:rsidP="00F31CE3">
            <w:r w:rsidRPr="00F31CE3">
              <w:t>Equivalent</w:t>
            </w:r>
          </w:p>
        </w:tc>
      </w:tr>
    </w:tbl>
    <w:p w:rsidR="00D44002" w:rsidRPr="00F31CE3" w:rsidP="00F31CE3">
      <w:pPr>
        <w:sectPr w:rsidSect="00F31508">
          <w:headerReference w:type="even" r:id="rId7"/>
          <w:headerReference w:type="default" r:id="rId8"/>
          <w:footerReference w:type="even" r:id="rId9"/>
          <w:footerReference w:type="default" r:id="rId10"/>
          <w:headerReference w:type="first" r:id="rId11"/>
          <w:footerReference w:type="first" r:id="rId12"/>
          <w:pgSz w:w="11906" w:h="16838"/>
          <w:pgMar w:top="1701" w:right="1418" w:bottom="1701" w:left="1418" w:header="709" w:footer="709" w:gutter="0"/>
          <w:cols w:space="708"/>
          <w:docGrid w:linePitch="360"/>
        </w:sectPr>
      </w:pPr>
    </w:p>
    <w:p w:rsidR="00D44002" w:rsidRPr="00F31CE3" w:rsidP="00F31CE3" w14:textId="3B105B63">
      <w:pPr>
        <w:pStyle w:val="ChapterTitle"/>
      </w:pPr>
      <w:bookmarkStart w:id="3" w:name="AMPCRP225_AR"/>
      <w:r w:rsidRPr="00F31CE3">
        <w:t>Assessment Requirements for AMPCRP225 Assess dentition</w:t>
      </w:r>
    </w:p>
    <w:p w:rsidR="00D44002" w:rsidRPr="00F31CE3" w:rsidP="00F31CE3">
      <w:pPr>
        <w:pStyle w:val="Heading1"/>
      </w:pPr>
      <w:bookmarkEnd w:id="3"/>
      <w:r w:rsidRPr="00F31CE3">
        <w:t>Modification History</w:t>
      </w:r>
    </w:p>
    <w:tbl>
      <w:tblPr>
        <w:tblStyle w:val="TableGrid"/>
        <w:tblW w:w="5000" w:type="pct"/>
        <w:jc w:val="left"/>
      </w:tblPr>
      <w:tblGrid>
        <w:gridCol w:w="1599"/>
        <w:gridCol w:w="7461"/>
      </w:tblGrid>
      <w:tr>
        <w:tblPrEx>
          <w:tblW w:w="5000" w:type="pct"/>
        </w:tblPrEx>
        <w:tc>
          <w:tcPr>
            <w:tcW w:w="1600" w:type="dxa"/>
          </w:tcPr>
          <w:p w:rsidR="00D44002" w:rsidRPr="00F31CE3" w:rsidP="00F31CE3">
            <w:r w:rsidRPr="00F31CE3">
              <w:t>Release</w:t>
            </w:r>
          </w:p>
        </w:tc>
        <w:tc>
          <w:tcPr>
            <w:tcW w:w="7470" w:type="dxa"/>
          </w:tcPr>
          <w:p w:rsidR="00D44002" w:rsidRPr="00F31CE3" w:rsidP="00F31CE3">
            <w:r w:rsidRPr="00F31CE3">
              <w:t>Comments</w:t>
            </w:r>
          </w:p>
        </w:tc>
      </w:tr>
      <w:tr>
        <w:tblPrEx>
          <w:tblW w:w="5000" w:type="pct"/>
        </w:tblPrEx>
        <w:tc>
          <w:tcPr>
            <w:tcW w:w="1600" w:type="dxa"/>
          </w:tcPr>
          <w:p w:rsidR="00D44002" w:rsidRPr="00F31CE3" w:rsidP="00F31CE3">
            <w:r w:rsidRPr="00F31CE3">
              <w:t>2</w:t>
            </w:r>
          </w:p>
        </w:tc>
        <w:tc>
          <w:tcPr>
            <w:tcW w:w="7470" w:type="dxa"/>
          </w:tcPr>
          <w:p>
            <w:pPr>
              <w:spacing w:before="0" w:after="240" w:line="240" w:lineRule="auto"/>
              <w:rPr>
                <w:rFonts w:eastAsia="Times New Roman"/>
                <w:kern w:val="0"/>
                <w14:ligatures w14:val="none"/>
              </w:rPr>
            </w:pPr>
            <w:r>
              <w:rPr>
                <w:rFonts w:ascii="Times New Roman" w:eastAsia="Times New Roman" w:hAnsi="Times New Roman" w:cs="Times New Roman"/>
                <w:kern w:val="0"/>
                <w14:ligatures w14:val="none"/>
              </w:rPr>
              <w:t xml:space="preserve">This version was released in AMP Australian Meat Processing Training Package Release 9.2. Updated to show Mandatory workplace requirements in </w:t>
            </w:r>
            <w:r>
              <w:rPr>
                <w:rFonts w:ascii="Times New Roman" w:eastAsia="Times New Roman" w:hAnsi="Times New Roman" w:cs="Times New Roman"/>
                <w:i/>
                <w:iCs/>
                <w:kern w:val="0"/>
                <w14:ligatures w14:val="none"/>
              </w:rPr>
              <w:t>italic</w:t>
            </w:r>
            <w:r>
              <w:rPr>
                <w:rFonts w:ascii="Times New Roman" w:eastAsia="Times New Roman" w:hAnsi="Times New Roman" w:cs="Times New Roman"/>
                <w:kern w:val="0"/>
                <w14:ligatures w14:val="none"/>
              </w:rPr>
              <w:t xml:space="preserve"> text.</w:t>
            </w:r>
          </w:p>
          <w:p w:rsidR="00D44002" w:rsidRPr="00F31CE3" w:rsidP="00F31CE3"/>
        </w:tc>
      </w:tr>
      <w:tr>
        <w:tblPrEx>
          <w:tblW w:w="5000" w:type="pct"/>
        </w:tblPrEx>
        <w:tc>
          <w:tcPr>
            <w:tcW w:w="1600" w:type="dxa"/>
          </w:tcPr>
          <w:p w:rsidR="00D44002" w:rsidRPr="00F31CE3" w:rsidP="00F31CE3">
            <w:r w:rsidRPr="00F31CE3">
              <w:t>1</w:t>
            </w:r>
          </w:p>
        </w:tc>
        <w:tc>
          <w:tcPr>
            <w:tcW w:w="7470" w:type="dxa"/>
          </w:tcPr>
          <w:p w:rsidR="00D44002" w:rsidRPr="00F31CE3" w:rsidP="00F31CE3">
            <w:r>
              <w:rPr>
                <w:rFonts w:ascii="Times New Roman" w:eastAsia="Times New Roman" w:hAnsi="Times New Roman" w:cs="Times New Roman"/>
                <w:kern w:val="0"/>
                <w14:ligatures w14:val="none"/>
              </w:rPr>
              <w:t>This unit of competency was first released in AMP Australian Meat Processing Training Package Release 9.0.</w:t>
            </w:r>
          </w:p>
        </w:tc>
      </w:tr>
    </w:tbl>
    <w:p w:rsidR="00D44002" w:rsidRPr="00F31CE3" w:rsidP="00F31CE3">
      <w:pPr>
        <w:pStyle w:val="Heading1"/>
      </w:pPr>
      <w:r w:rsidRPr="00F31CE3">
        <w:t>Performance Evidence</w:t>
      </w:r>
    </w:p>
    <w:p w:rsidR="00D44002" w:rsidRPr="00F31CE3" w:rsidP="00F31CE3">
      <w:r w:rsidRPr="00F31CE3">
        <w:t>An individual demonstrating competency must satisfy all of the elements and performance criteria in this unit.</w:t>
      </w:r>
    </w:p>
    <w:p w:rsidR="00D44002" w:rsidRPr="00F31CE3" w:rsidP="00F31CE3">
      <w:r w:rsidRPr="00F31CE3">
        <w:t>There must be evidence that the individual has assessed the dentition of animals or carcases, following workplace requirements, in a micro or larger meat processing premises.</w:t>
      </w:r>
    </w:p>
    <w:p w:rsidR="00D44002" w:rsidRPr="00F31CE3" w:rsidP="00F31CE3">
      <w:r w:rsidRPr="00F31CE3">
        <w:t>There must also be evidence that the individual has completed two shifts on the job, fulfilling workplace requirements (these shifts may include normal rotations into and out of the relevant work task).</w:t>
      </w:r>
    </w:p>
    <w:p w:rsidR="00D44002" w:rsidRPr="00F31CE3" w:rsidP="00F31CE3">
      <w:r w:rsidRPr="00F31CE3">
        <w:rPr>
          <w:rStyle w:val="Strong"/>
        </w:rPr>
        <w:t>Mandatory workplace requirements</w:t>
      </w:r>
    </w:p>
    <w:p w:rsidR="00D44002" w:rsidRPr="00F31CE3" w:rsidP="00F31CE3">
      <w:r w:rsidRPr="00F31CE3">
        <w:t>All performance evidence specified above must be demonstrated in a meat processing premises.</w:t>
      </w:r>
    </w:p>
    <w:p w:rsidR="00D44002" w:rsidRPr="00F31CE3" w:rsidP="00F31CE3">
      <w:pPr>
        <w:pStyle w:val="Heading1"/>
      </w:pPr>
      <w:r w:rsidRPr="00F31CE3">
        <w:t>Knowledge Evidence</w:t>
      </w:r>
    </w:p>
    <w:p w:rsidR="00D44002" w:rsidRPr="00F31CE3" w:rsidP="00F31CE3">
      <w:r w:rsidRPr="00F31CE3">
        <w:t>An individual must be able to demonstrate the knowledge required to perform the tasks outlined in the elements and performance criteria of this unit. This includes knowledge of:</w:t>
      </w:r>
    </w:p>
    <w:p w:rsidR="00D44002" w:rsidRPr="00F31CE3" w:rsidP="00F31CE3">
      <w:pPr>
        <w:numPr>
          <w:ilvl w:val="0"/>
          <w:numId w:val="6"/>
        </w:numPr>
        <w:ind w:left="720" w:hanging="360"/>
        <w:jc w:val="left"/>
      </w:pPr>
      <w:r w:rsidRPr="00F31CE3">
        <w:t>workplace requirements for assessing and recording dentition, including AUS-MEAT standards, where used</w:t>
      </w:r>
    </w:p>
    <w:p w:rsidR="00D44002" w:rsidRPr="00F31CE3" w:rsidP="00F31CE3">
      <w:pPr>
        <w:numPr>
          <w:ilvl w:val="0"/>
          <w:numId w:val="6"/>
        </w:numPr>
        <w:ind w:left="720" w:hanging="360"/>
        <w:jc w:val="left"/>
      </w:pPr>
      <w:r w:rsidRPr="00F31CE3">
        <w:t>dentition as a measure of animal age</w:t>
      </w:r>
    </w:p>
    <w:p w:rsidR="00D44002" w:rsidRPr="00F31CE3" w:rsidP="00F31CE3">
      <w:pPr>
        <w:numPr>
          <w:ilvl w:val="0"/>
          <w:numId w:val="6"/>
        </w:numPr>
        <w:ind w:left="720" w:hanging="360"/>
        <w:jc w:val="left"/>
      </w:pPr>
      <w:r w:rsidRPr="00F31CE3">
        <w:t>difference between milk teeth and permanent incisors</w:t>
      </w:r>
    </w:p>
    <w:p w:rsidR="00D44002" w:rsidRPr="00F31CE3" w:rsidP="00F31CE3">
      <w:pPr>
        <w:numPr>
          <w:ilvl w:val="0"/>
          <w:numId w:val="6"/>
        </w:numPr>
        <w:ind w:left="720" w:hanging="360"/>
        <w:jc w:val="left"/>
      </w:pPr>
      <w:r w:rsidRPr="00F31CE3">
        <w:t>importance and value of accurate dentition assessment</w:t>
      </w:r>
    </w:p>
    <w:p w:rsidR="00D44002" w:rsidRPr="00F31CE3" w:rsidP="00F31CE3">
      <w:pPr>
        <w:numPr>
          <w:ilvl w:val="0"/>
          <w:numId w:val="6"/>
        </w:numPr>
        <w:ind w:left="720" w:hanging="360"/>
        <w:jc w:val="left"/>
      </w:pPr>
      <w:r w:rsidRPr="00F31CE3">
        <w:t>methods to avoid contamination while assessing dentition</w:t>
      </w:r>
    </w:p>
    <w:p w:rsidR="00D44002" w:rsidRPr="00F31CE3" w:rsidP="00F31CE3">
      <w:pPr>
        <w:numPr>
          <w:ilvl w:val="0"/>
          <w:numId w:val="6"/>
        </w:numPr>
        <w:ind w:left="720" w:hanging="360"/>
        <w:jc w:val="left"/>
      </w:pPr>
      <w:r w:rsidRPr="00F31CE3">
        <w:t>zoonotic hazards, and how the associated risks are controlled</w:t>
      </w:r>
    </w:p>
    <w:p w:rsidR="00D44002" w:rsidRPr="00F31CE3" w:rsidP="00F31CE3">
      <w:pPr>
        <w:numPr>
          <w:ilvl w:val="0"/>
          <w:numId w:val="6"/>
        </w:numPr>
        <w:ind w:left="720" w:hanging="360"/>
        <w:jc w:val="left"/>
      </w:pPr>
      <w:r w:rsidRPr="00F31CE3">
        <w:t>typical workplace health and safety hazards encountered when assessing dentition, and how the associated risks are controlled.</w:t>
      </w:r>
    </w:p>
    <w:p w:rsidR="00D44002" w:rsidRPr="00F31CE3" w:rsidP="00F31CE3">
      <w:pPr>
        <w:pStyle w:val="Heading1"/>
      </w:pPr>
      <w:r w:rsidRPr="00F31CE3">
        <w:t>Assessment Conditions</w:t>
      </w:r>
    </w:p>
    <w:p w:rsidR="00D44002" w:rsidRPr="00F31CE3" w:rsidP="00F31CE3">
      <w:r w:rsidRPr="00F31CE3">
        <w:t>Assessment of the skills in this unit of competency must take place under the following conditions:</w:t>
      </w:r>
    </w:p>
    <w:p w:rsidR="00D44002" w:rsidRPr="00F31CE3" w:rsidP="00F31CE3">
      <w:pPr>
        <w:numPr>
          <w:ilvl w:val="0"/>
          <w:numId w:val="3"/>
        </w:numPr>
        <w:ind w:left="720" w:hanging="360"/>
        <w:jc w:val="left"/>
      </w:pPr>
      <w:r w:rsidRPr="00F31CE3">
        <w:t>physical conditions:</w:t>
      </w:r>
    </w:p>
    <w:p w:rsidR="00D44002" w:rsidRPr="00F31CE3" w:rsidP="00F31CE3">
      <w:pPr>
        <w:numPr>
          <w:ilvl w:val="1"/>
          <w:numId w:val="3"/>
        </w:numPr>
        <w:ind w:left="1440" w:hanging="360"/>
        <w:jc w:val="left"/>
      </w:pPr>
      <w:r w:rsidRPr="00F31CE3">
        <w:rPr>
          <w:i/>
          <w:iCs/>
        </w:rPr>
        <w:t>skills must be demonstrated in a meat processing premises at workplace production speed</w:t>
      </w:r>
    </w:p>
    <w:p w:rsidR="00D44002" w:rsidRPr="00F31CE3" w:rsidP="00F31CE3">
      <w:pPr>
        <w:numPr>
          <w:ilvl w:val="0"/>
          <w:numId w:val="3"/>
        </w:numPr>
        <w:ind w:left="720" w:hanging="360"/>
        <w:jc w:val="left"/>
      </w:pPr>
      <w:r w:rsidRPr="00F31CE3">
        <w:t>resources, equipment and materials:</w:t>
      </w:r>
    </w:p>
    <w:p w:rsidR="00D44002" w:rsidRPr="00F31CE3" w:rsidP="00F31CE3">
      <w:pPr>
        <w:numPr>
          <w:ilvl w:val="1"/>
          <w:numId w:val="3"/>
        </w:numPr>
        <w:ind w:left="1440" w:hanging="360"/>
        <w:jc w:val="left"/>
      </w:pPr>
      <w:r w:rsidRPr="00F31CE3">
        <w:rPr>
          <w:i/>
          <w:iCs/>
        </w:rPr>
        <w:t>personal protective equipment</w:t>
      </w:r>
    </w:p>
    <w:p w:rsidR="00D44002" w:rsidRPr="00F31CE3" w:rsidP="00F31CE3">
      <w:pPr>
        <w:numPr>
          <w:ilvl w:val="1"/>
          <w:numId w:val="3"/>
        </w:numPr>
        <w:ind w:left="1440" w:hanging="360"/>
        <w:jc w:val="left"/>
      </w:pPr>
      <w:r w:rsidRPr="00F31CE3">
        <w:rPr>
          <w:i/>
          <w:iCs/>
        </w:rPr>
        <w:t>animals or carcases</w:t>
      </w:r>
    </w:p>
    <w:p w:rsidR="00D44002" w:rsidRPr="00F31CE3" w:rsidP="00F31CE3">
      <w:pPr>
        <w:numPr>
          <w:ilvl w:val="0"/>
          <w:numId w:val="3"/>
        </w:numPr>
        <w:ind w:left="720" w:hanging="360"/>
        <w:jc w:val="left"/>
      </w:pPr>
      <w:r w:rsidRPr="00F31CE3">
        <w:t>specifications:</w:t>
      </w:r>
    </w:p>
    <w:p w:rsidR="00D44002" w:rsidRPr="00F31CE3" w:rsidP="00F31CE3">
      <w:pPr>
        <w:numPr>
          <w:ilvl w:val="1"/>
          <w:numId w:val="3"/>
        </w:numPr>
        <w:ind w:left="1440" w:hanging="360"/>
        <w:jc w:val="left"/>
      </w:pPr>
      <w:r w:rsidRPr="00F31CE3">
        <w:rPr>
          <w:i/>
          <w:iCs/>
        </w:rPr>
        <w:t>task-related documents</w:t>
      </w:r>
    </w:p>
    <w:p w:rsidR="00D44002" w:rsidRPr="00F31CE3" w:rsidP="00F31CE3">
      <w:pPr>
        <w:numPr>
          <w:ilvl w:val="0"/>
          <w:numId w:val="3"/>
        </w:numPr>
        <w:ind w:left="720" w:hanging="360"/>
        <w:jc w:val="left"/>
      </w:pPr>
      <w:r w:rsidRPr="00F31CE3">
        <w:t>personnel:</w:t>
      </w:r>
    </w:p>
    <w:p w:rsidR="00D44002" w:rsidRPr="00F31CE3" w:rsidP="00F31CE3">
      <w:pPr>
        <w:numPr>
          <w:ilvl w:val="1"/>
          <w:numId w:val="3"/>
        </w:numPr>
        <w:ind w:left="1440" w:hanging="360"/>
        <w:jc w:val="left"/>
      </w:pPr>
      <w:r w:rsidRPr="00F31CE3">
        <w:rPr>
          <w:i/>
          <w:iCs/>
        </w:rPr>
        <w:t>access to workplace supervisor or mentor.</w:t>
      </w:r>
    </w:p>
    <w:p w:rsidR="00D44002" w:rsidRPr="00F31CE3" w:rsidP="00F31CE3">
      <w:r w:rsidRPr="00F31CE3">
        <w:t>Assessment for this unit must include at least three forms of evidence.</w:t>
      </w:r>
    </w:p>
    <w:p w:rsidR="00D44002" w:rsidRPr="00F31CE3" w:rsidP="00F31CE3">
      <w:r w:rsidRPr="00F31CE3">
        <w:t>Assessors of this unit must satisfy the requirements for assessors in applicable vocational education and training legislation, frameworks and/or standards.</w:t>
      </w:r>
    </w:p>
    <w:p w:rsidR="00D44002" w:rsidRPr="00F31CE3" w:rsidP="00F31CE3">
      <w:r w:rsidRPr="00F31CE3">
        <w:rPr>
          <w:rStyle w:val="Strong"/>
        </w:rPr>
        <w:t>Mandatory workplace requirements</w:t>
      </w:r>
    </w:p>
    <w:p w:rsidR="00D44002" w:rsidRPr="00F31CE3" w:rsidP="00F31CE3">
      <w:r w:rsidRPr="00F31CE3">
        <w:t xml:space="preserve">Mandatory workplace requirements are shown in </w:t>
      </w:r>
      <w:r w:rsidRPr="00F31CE3">
        <w:rPr>
          <w:i/>
          <w:iCs/>
        </w:rPr>
        <w:t>italic</w:t>
      </w:r>
      <w:r w:rsidRPr="00F31CE3">
        <w:t xml:space="preserve"> text. Refer to the Companion Volume Implementation Guide for further information.</w:t>
      </w:r>
    </w:p>
    <w:p w:rsidR="00D44002" w:rsidRPr="00F31CE3" w:rsidP="00F31CE3">
      <w:pPr>
        <w:pStyle w:val="Heading1"/>
      </w:pPr>
      <w:r w:rsidRPr="00F31CE3">
        <w:t>Link</w:t>
      </w:r>
    </w:p>
    <w:p w:rsidR="00D44002" w:rsidRPr="00F31CE3" w:rsidP="00F31CE3">
      <w:r w:rsidRPr="00F31CE3">
        <w:t xml:space="preserve">Companion volumes, including implementation guides, are found on the national training register - </w:t>
      </w:r>
      <w:hyperlink r:id="rId13" w:history="1">
        <w:r w:rsidRPr="00F31CE3">
          <w:rPr>
            <w:rStyle w:val="Hyperlink"/>
          </w:rPr>
          <w:t>https://training.gov.au/training/details/AMP</w:t>
        </w:r>
      </w:hyperlink>
      <w:r w:rsidRPr="00F31CE3">
        <w:t>.</w:t>
      </w:r>
    </w:p>
    <w:p w:rsidR="00D44002" w:rsidRPr="00F31CE3" w:rsidP="00F31CE3"/>
    <w:sectPr w:rsidSect="00F31508">
      <w:headerReference w:type="even" r:id="rId14"/>
      <w:headerReference w:type="default" r:id="rId15"/>
      <w:footerReference w:type="even" r:id="rId16"/>
      <w:footerReference w:type="default" r:id="rId17"/>
      <w:headerReference w:type="first" r:id="rId18"/>
      <w:footerReference w:type="first" r:id="rId19"/>
      <w:pgSz w:w="11906" w:h="16838"/>
      <w:pgMar w:top="1701" w:right="1418" w:bottom="170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RPr="00FA4076" w:rsidP="00FA4076" w14:paraId="4A580142" w14:textId="77777777">
    <w:pPr>
      <w:pStyle w:val="Footer"/>
    </w:pPr>
    <w:r w:rsidRPr="00E53E67">
      <w:rPr>
        <w:b/>
        <w:bCs/>
        <w:sz w:val="20"/>
        <w:szCs w:val="20"/>
      </w:rPr>
      <w:t xml:space="preserve">Release: </w:t>
    </w:r>
    <w:r w:rsidRPr="00E53E67">
      <w:rPr>
        <w:b/>
        <w:bCs/>
        <w:sz w:val="20"/>
        <w:szCs w:val="20"/>
      </w:rPr>
      <w:t>2</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42B97885"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paraId="095EFEC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4</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paraId="2EC2BA9B"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0937DF49"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rsidRPr="003E4545" w:rsidP="00F27B0A" w14:textId="77777777">
    <w:pPr>
      <w:pStyle w:val="Footer"/>
      <w:pBdr>
        <w:top w:val="single" w:sz="4" w:space="1" w:color="auto"/>
      </w:pBdr>
      <w:tabs>
        <w:tab w:val="clear" w:pos="4513"/>
      </w:tabs>
      <w:jc w:val="both"/>
      <w:rPr>
        <w:sz w:val="16"/>
        <w:szCs w:val="16"/>
      </w:rPr>
    </w:pPr>
    <w:r w:rsidRPr="003E4545">
      <w:rPr>
        <w:sz w:val="16"/>
        <w:szCs w:val="16"/>
      </w:rPr>
      <w:t>Current</w:t>
    </w:r>
    <w:r w:rsidRPr="003E4545">
      <w:rPr>
        <w:sz w:val="16"/>
        <w:szCs w:val="16"/>
      </w:rPr>
      <w:tab/>
      <w:t xml:space="preserve">Page </w:t>
    </w:r>
    <w:r>
      <w:rPr>
        <w:sz w:val="16"/>
        <w:szCs w:val="16"/>
      </w:rPr>
      <w:fldChar w:fldCharType="begin"/>
    </w:r>
    <w:r>
      <w:rPr>
        <w:sz w:val="16"/>
        <w:szCs w:val="16"/>
      </w:rPr>
      <w:instrText xml:space="preserve"> PAGE   \* MERGEFORMAT </w:instrText>
    </w:r>
    <w:r>
      <w:rPr>
        <w:sz w:val="16"/>
        <w:szCs w:val="16"/>
      </w:rPr>
      <w:fldChar w:fldCharType="separate"/>
    </w:r>
    <w:r>
      <w:rPr>
        <w:sz w:val="16"/>
        <w:szCs w:val="16"/>
      </w:rPr>
      <w:t>6</w:t>
    </w:r>
    <w:r>
      <w:rPr>
        <w:sz w:val="16"/>
        <w:szCs w:val="16"/>
      </w:rPr>
      <w:fldChar w:fldCharType="end"/>
    </w:r>
    <w:r>
      <w:rPr>
        <w:sz w:val="16"/>
        <w:szCs w:val="16"/>
      </w:rPr>
      <w:t xml:space="preserve"> </w:t>
    </w:r>
    <w:r w:rsidRPr="003E4545">
      <w:rPr>
        <w:sz w:val="16"/>
        <w:szCs w:val="16"/>
      </w:rPr>
      <w:t xml:space="preserve">of </w:t>
    </w:r>
    <w:r>
      <w:rPr>
        <w:sz w:val="16"/>
        <w:szCs w:val="16"/>
      </w:rPr>
      <w:fldChar w:fldCharType="begin"/>
    </w:r>
    <w:r>
      <w:rPr>
        <w:sz w:val="16"/>
        <w:szCs w:val="16"/>
      </w:rPr>
      <w:instrText xml:space="preserve"> NUMPAGES   \* MERGEFORMAT </w:instrText>
    </w:r>
    <w:r>
      <w:rPr>
        <w:sz w:val="16"/>
        <w:szCs w:val="16"/>
      </w:rPr>
      <w:fldChar w:fldCharType="separate"/>
    </w:r>
    <w:r>
      <w:rPr>
        <w:sz w:val="16"/>
        <w:szCs w:val="16"/>
      </w:rPr>
      <w:t>6</w:t>
    </w:r>
    <w:r>
      <w:rPr>
        <w:sz w:val="16"/>
        <w:szCs w:val="16"/>
      </w:rPr>
      <w:fldChar w:fldCharType="end"/>
    </w:r>
  </w:p>
  <w:p w:rsidR="00F27B0A" w:rsidP="00F27B0A" w14:textId="316FF1BF">
    <w:pPr>
      <w:pStyle w:val="Footer"/>
      <w:tabs>
        <w:tab w:val="clear" w:pos="4513"/>
      </w:tabs>
      <w:jc w:val="both"/>
    </w:pPr>
    <w:r w:rsidRPr="003E4545">
      <w:rPr>
        <w:sz w:val="16"/>
        <w:szCs w:val="16"/>
      </w:rPr>
      <w:t xml:space="preserve">© Commonwealth of Australia, </w:t>
    </w:r>
    <w:r>
      <w:rPr>
        <w:sz w:val="16"/>
        <w:szCs w:val="16"/>
      </w:rPr>
      <w:fldChar w:fldCharType="begin"/>
    </w:r>
    <w:r>
      <w:rPr>
        <w:sz w:val="16"/>
        <w:szCs w:val="16"/>
      </w:rPr>
      <w:instrText xml:space="preserve"> DATE  \@ "yyyy"  \* MERGEFORMAT </w:instrText>
    </w:r>
    <w:r>
      <w:rPr>
        <w:sz w:val="16"/>
        <w:szCs w:val="16"/>
      </w:rPr>
      <w:fldChar w:fldCharType="separate"/>
    </w:r>
    <w:r w:rsidR="00986284">
      <w:rPr>
        <w:noProof/>
        <w:sz w:val="16"/>
        <w:szCs w:val="16"/>
      </w:rPr>
      <w:t>2026</w:t>
    </w:r>
    <w:r>
      <w:rPr>
        <w:sz w:val="16"/>
        <w:szCs w:val="16"/>
      </w:rPr>
      <w:fldChar w:fldCharType="end"/>
    </w:r>
    <w:r w:rsidRPr="003E4545">
      <w:rPr>
        <w:sz w:val="16"/>
        <w:szCs w:val="16"/>
      </w:rPr>
      <w:tab/>
    </w:r>
    <w:r w:rsidRPr="003E4545">
      <w:rPr>
        <w:sz w:val="16"/>
        <w:szCs w:val="16"/>
      </w:rPr>
      <w:t>Skills Insight</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A4076" w:rsidP="00FA4076" w14:paraId="2756F965" w14:textId="1F82DF94">
    <w:pPr>
      <w:pStyle w:val="Header"/>
      <w:jc w:val="center"/>
    </w:pPr>
    <w:r>
      <w:rPr>
        <w:noProof/>
      </w:rPr>
      <w:drawing>
        <wp:inline distT="0" distB="0" distL="0" distR="0">
          <wp:extent cx="2066667" cy="1076190"/>
          <wp:effectExtent l="0" t="0" r="0" b="0"/>
          <wp:docPr id="1572583867" name="Picture 1" descr="Australian Government 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2583867" name="Picture 1" descr="Australian Government Crest"/>
                  <pic:cNvPicPr/>
                </pic:nvPicPr>
                <pic:blipFill>
                  <a:blip xmlns:r="http://schemas.openxmlformats.org/officeDocument/2006/relationships" r:embed="rId1"/>
                  <a:stretch>
                    <a:fillRect/>
                  </a:stretch>
                </pic:blipFill>
                <pic:spPr>
                  <a:xfrm>
                    <a:off x="0" y="0"/>
                    <a:ext cx="2066667" cy="107619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60696BB4"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paraId="05DA8F9E" w14:textId="6D38A07F">
    <w:pPr>
      <w:pStyle w:val="Header"/>
      <w:pBdr>
        <w:bottom w:val="single" w:sz="4" w:space="1" w:color="auto"/>
      </w:pBdr>
      <w:tabs>
        <w:tab w:val="clear" w:pos="4513"/>
      </w:tabs>
      <w:rPr>
        <w:sz w:val="16"/>
        <w:szCs w:val="16"/>
      </w:rPr>
    </w:pPr>
    <w:r w:rsidRPr="003E4545">
      <w:rPr>
        <w:sz w:val="16"/>
        <w:szCs w:val="16"/>
      </w:rPr>
      <w:t>AMPCRP225 Assess dentition</w:t>
    </w:r>
    <w:r>
      <w:rPr>
        <w:sz w:val="16"/>
        <w:szCs w:val="16"/>
      </w:rPr>
      <w:tab/>
    </w:r>
    <w:r w:rsidRPr="003E4545">
      <w:rPr>
        <w:sz w:val="16"/>
        <w:szCs w:val="16"/>
      </w:rPr>
      <w:t xml:space="preserve">Date this document was generated: </w:t>
    </w:r>
    <w:r>
      <w:rPr>
        <w:sz w:val="16"/>
        <w:szCs w:val="16"/>
      </w:rPr>
      <w:t>10 September 2026</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paraId="12A3AE3F"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8F3E52" w:rsidRPr="003E4545" w:rsidP="0038530E" w14:textId="6D38A07F">
    <w:pPr>
      <w:pStyle w:val="Header"/>
      <w:pBdr>
        <w:bottom w:val="single" w:sz="4" w:space="1" w:color="auto"/>
      </w:pBdr>
      <w:tabs>
        <w:tab w:val="clear" w:pos="4513"/>
      </w:tabs>
      <w:rPr>
        <w:sz w:val="16"/>
        <w:szCs w:val="16"/>
      </w:rPr>
    </w:pPr>
    <w:r w:rsidRPr="003E4545">
      <w:rPr>
        <w:sz w:val="16"/>
        <w:szCs w:val="16"/>
      </w:rPr>
      <w:t>Assessment Requirements for AMPCRP225 Assess dentition</w:t>
    </w:r>
    <w:r>
      <w:rPr>
        <w:sz w:val="16"/>
        <w:szCs w:val="16"/>
      </w:rPr>
      <w:tab/>
    </w:r>
    <w:r w:rsidRPr="003E4545">
      <w:rPr>
        <w:sz w:val="16"/>
        <w:szCs w:val="16"/>
      </w:rPr>
      <w:t xml:space="preserve">Date this document was generated: </w:t>
    </w:r>
    <w:r>
      <w:rPr>
        <w:sz w:val="16"/>
        <w:szCs w:val="16"/>
      </w:rPr>
      <w:t>10 September 2026</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27B0A"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22DA9385"/>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1" w15:restartNumberingAfterBreak="0">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2" w15:restartNumberingAfterBreak="0">
    <w:nsid w:val="665D409A"/>
    <w:multiLevelType w:val="hybridMultilevel"/>
    <w:tmpl w:val="665D409A"/>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3" w15:restartNumberingAfterBreak="0">
    <w:nsid w:val="665D409B"/>
    <w:multiLevelType w:val="hybridMultilevel"/>
    <w:tmpl w:val="665D409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4" w15:restartNumberingAfterBreak="0">
    <w:nsid w:val="665D409C"/>
    <w:multiLevelType w:val="hybridMultilevel"/>
    <w:tmpl w:val="665D409C"/>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abstractNum w:abstractNumId="5" w15:restartNumberingAfterBreak="0">
    <w:nsid w:val="665D409D"/>
    <w:multiLevelType w:val="hybridMultilevel"/>
    <w:tmpl w:val="665D409D"/>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2124492594">
    <w:abstractNumId w:val="1"/>
  </w:num>
  <w:num w:numId="2">
    <w:abstractNumId w:val="2"/>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002E"/>
    <w:rsid w:val="00001716"/>
    <w:rsid w:val="00003DB6"/>
    <w:rsid w:val="00011C84"/>
    <w:rsid w:val="0002276B"/>
    <w:rsid w:val="00032672"/>
    <w:rsid w:val="00032758"/>
    <w:rsid w:val="00036205"/>
    <w:rsid w:val="00041A6A"/>
    <w:rsid w:val="0004324C"/>
    <w:rsid w:val="00043658"/>
    <w:rsid w:val="00043FE6"/>
    <w:rsid w:val="00044734"/>
    <w:rsid w:val="0006329A"/>
    <w:rsid w:val="00063382"/>
    <w:rsid w:val="000670DA"/>
    <w:rsid w:val="000761A0"/>
    <w:rsid w:val="000934AA"/>
    <w:rsid w:val="0009533A"/>
    <w:rsid w:val="000A3C26"/>
    <w:rsid w:val="000A4105"/>
    <w:rsid w:val="000A6888"/>
    <w:rsid w:val="000B3C8F"/>
    <w:rsid w:val="000B5D56"/>
    <w:rsid w:val="000D392F"/>
    <w:rsid w:val="000D4918"/>
    <w:rsid w:val="000D52E6"/>
    <w:rsid w:val="000E134A"/>
    <w:rsid w:val="000F7257"/>
    <w:rsid w:val="00100960"/>
    <w:rsid w:val="001025D1"/>
    <w:rsid w:val="00102854"/>
    <w:rsid w:val="00104464"/>
    <w:rsid w:val="0010497C"/>
    <w:rsid w:val="00112439"/>
    <w:rsid w:val="001139F8"/>
    <w:rsid w:val="00113C48"/>
    <w:rsid w:val="001279EF"/>
    <w:rsid w:val="00155E51"/>
    <w:rsid w:val="001639BB"/>
    <w:rsid w:val="00164298"/>
    <w:rsid w:val="0017445A"/>
    <w:rsid w:val="00174B3C"/>
    <w:rsid w:val="00187F7F"/>
    <w:rsid w:val="00190EA1"/>
    <w:rsid w:val="00197ABF"/>
    <w:rsid w:val="001A3FC6"/>
    <w:rsid w:val="001B0586"/>
    <w:rsid w:val="001B2903"/>
    <w:rsid w:val="001B3FB2"/>
    <w:rsid w:val="001B64A1"/>
    <w:rsid w:val="001B76F4"/>
    <w:rsid w:val="001C11F8"/>
    <w:rsid w:val="001C6F51"/>
    <w:rsid w:val="001C71B5"/>
    <w:rsid w:val="001D7B20"/>
    <w:rsid w:val="001E36D4"/>
    <w:rsid w:val="001F08C6"/>
    <w:rsid w:val="001F65FC"/>
    <w:rsid w:val="002103C0"/>
    <w:rsid w:val="00211A8C"/>
    <w:rsid w:val="00213466"/>
    <w:rsid w:val="00222E93"/>
    <w:rsid w:val="00226877"/>
    <w:rsid w:val="00227BD4"/>
    <w:rsid w:val="00246CE0"/>
    <w:rsid w:val="00262572"/>
    <w:rsid w:val="0026375B"/>
    <w:rsid w:val="002644C1"/>
    <w:rsid w:val="00266B3B"/>
    <w:rsid w:val="00266C4D"/>
    <w:rsid w:val="002807FD"/>
    <w:rsid w:val="00282869"/>
    <w:rsid w:val="002869A9"/>
    <w:rsid w:val="002A002E"/>
    <w:rsid w:val="002A5613"/>
    <w:rsid w:val="002B6140"/>
    <w:rsid w:val="002C1A16"/>
    <w:rsid w:val="002C2B22"/>
    <w:rsid w:val="002D4A04"/>
    <w:rsid w:val="002E425A"/>
    <w:rsid w:val="002E6BE1"/>
    <w:rsid w:val="002E6E27"/>
    <w:rsid w:val="002F4DCD"/>
    <w:rsid w:val="002F6500"/>
    <w:rsid w:val="003030C4"/>
    <w:rsid w:val="0030690A"/>
    <w:rsid w:val="003069B6"/>
    <w:rsid w:val="00330352"/>
    <w:rsid w:val="00346FFB"/>
    <w:rsid w:val="00351D9D"/>
    <w:rsid w:val="003571B9"/>
    <w:rsid w:val="00370B77"/>
    <w:rsid w:val="00380794"/>
    <w:rsid w:val="00381B18"/>
    <w:rsid w:val="003820E9"/>
    <w:rsid w:val="00382DF4"/>
    <w:rsid w:val="0038530E"/>
    <w:rsid w:val="00385C31"/>
    <w:rsid w:val="003B286B"/>
    <w:rsid w:val="003B39E2"/>
    <w:rsid w:val="003D175E"/>
    <w:rsid w:val="003E4545"/>
    <w:rsid w:val="003F26B2"/>
    <w:rsid w:val="003F3D1F"/>
    <w:rsid w:val="003F615F"/>
    <w:rsid w:val="00403B2B"/>
    <w:rsid w:val="00404AE8"/>
    <w:rsid w:val="004235DB"/>
    <w:rsid w:val="0042688C"/>
    <w:rsid w:val="00431CBB"/>
    <w:rsid w:val="00432B22"/>
    <w:rsid w:val="004368AF"/>
    <w:rsid w:val="00441958"/>
    <w:rsid w:val="00454D3D"/>
    <w:rsid w:val="00457698"/>
    <w:rsid w:val="004726B8"/>
    <w:rsid w:val="0047638B"/>
    <w:rsid w:val="004832B7"/>
    <w:rsid w:val="00490D5E"/>
    <w:rsid w:val="00492374"/>
    <w:rsid w:val="00497944"/>
    <w:rsid w:val="004B00D0"/>
    <w:rsid w:val="004B18E5"/>
    <w:rsid w:val="004B20E2"/>
    <w:rsid w:val="004B23A7"/>
    <w:rsid w:val="004C2B1A"/>
    <w:rsid w:val="004D10E5"/>
    <w:rsid w:val="004D1A81"/>
    <w:rsid w:val="004E290E"/>
    <w:rsid w:val="004F165C"/>
    <w:rsid w:val="004F1795"/>
    <w:rsid w:val="00500FFC"/>
    <w:rsid w:val="00501C36"/>
    <w:rsid w:val="005067E8"/>
    <w:rsid w:val="00512FF0"/>
    <w:rsid w:val="00513126"/>
    <w:rsid w:val="00516904"/>
    <w:rsid w:val="005219D8"/>
    <w:rsid w:val="00522E1A"/>
    <w:rsid w:val="00524DAA"/>
    <w:rsid w:val="005355BA"/>
    <w:rsid w:val="00542D25"/>
    <w:rsid w:val="0054353E"/>
    <w:rsid w:val="005503CB"/>
    <w:rsid w:val="00560137"/>
    <w:rsid w:val="00564561"/>
    <w:rsid w:val="005663F8"/>
    <w:rsid w:val="0056754A"/>
    <w:rsid w:val="00572299"/>
    <w:rsid w:val="005743C4"/>
    <w:rsid w:val="005871AF"/>
    <w:rsid w:val="00593918"/>
    <w:rsid w:val="005A2B1D"/>
    <w:rsid w:val="005B33BC"/>
    <w:rsid w:val="005B543F"/>
    <w:rsid w:val="005B7A74"/>
    <w:rsid w:val="005C16AE"/>
    <w:rsid w:val="005C4CC6"/>
    <w:rsid w:val="005D2B3F"/>
    <w:rsid w:val="005E3CC2"/>
    <w:rsid w:val="005E7A34"/>
    <w:rsid w:val="005F118A"/>
    <w:rsid w:val="005F40E1"/>
    <w:rsid w:val="005F489F"/>
    <w:rsid w:val="005F6F5B"/>
    <w:rsid w:val="00614E9C"/>
    <w:rsid w:val="006161E3"/>
    <w:rsid w:val="006170D3"/>
    <w:rsid w:val="00621CBC"/>
    <w:rsid w:val="0062273A"/>
    <w:rsid w:val="006301FF"/>
    <w:rsid w:val="00630517"/>
    <w:rsid w:val="00635D48"/>
    <w:rsid w:val="00637A3D"/>
    <w:rsid w:val="006600D1"/>
    <w:rsid w:val="0066407A"/>
    <w:rsid w:val="006705FA"/>
    <w:rsid w:val="00674A8A"/>
    <w:rsid w:val="0067722C"/>
    <w:rsid w:val="00677884"/>
    <w:rsid w:val="00682E9B"/>
    <w:rsid w:val="00684D0F"/>
    <w:rsid w:val="006A43BF"/>
    <w:rsid w:val="006A5202"/>
    <w:rsid w:val="006B5BAE"/>
    <w:rsid w:val="006C1244"/>
    <w:rsid w:val="006D323C"/>
    <w:rsid w:val="006D3EB7"/>
    <w:rsid w:val="006E472E"/>
    <w:rsid w:val="006F06EC"/>
    <w:rsid w:val="006F1DFD"/>
    <w:rsid w:val="006F231B"/>
    <w:rsid w:val="006F3A9E"/>
    <w:rsid w:val="00704250"/>
    <w:rsid w:val="007103AD"/>
    <w:rsid w:val="00712B8A"/>
    <w:rsid w:val="0071575F"/>
    <w:rsid w:val="00726497"/>
    <w:rsid w:val="007351F1"/>
    <w:rsid w:val="00735D94"/>
    <w:rsid w:val="00736341"/>
    <w:rsid w:val="0074423E"/>
    <w:rsid w:val="00751158"/>
    <w:rsid w:val="007519C1"/>
    <w:rsid w:val="00752378"/>
    <w:rsid w:val="00757A0E"/>
    <w:rsid w:val="00761FC7"/>
    <w:rsid w:val="007628C3"/>
    <w:rsid w:val="00773269"/>
    <w:rsid w:val="00774FEA"/>
    <w:rsid w:val="00775E24"/>
    <w:rsid w:val="0078256D"/>
    <w:rsid w:val="00787507"/>
    <w:rsid w:val="00793E01"/>
    <w:rsid w:val="00794E49"/>
    <w:rsid w:val="00794FA5"/>
    <w:rsid w:val="007A1A24"/>
    <w:rsid w:val="007C1BA3"/>
    <w:rsid w:val="007D1B11"/>
    <w:rsid w:val="007D59B6"/>
    <w:rsid w:val="007F18D6"/>
    <w:rsid w:val="007F520C"/>
    <w:rsid w:val="007F6285"/>
    <w:rsid w:val="008108B8"/>
    <w:rsid w:val="00812B70"/>
    <w:rsid w:val="0081463A"/>
    <w:rsid w:val="00814E85"/>
    <w:rsid w:val="00823A11"/>
    <w:rsid w:val="00824604"/>
    <w:rsid w:val="00825426"/>
    <w:rsid w:val="00836A00"/>
    <w:rsid w:val="00847844"/>
    <w:rsid w:val="00862744"/>
    <w:rsid w:val="008649CB"/>
    <w:rsid w:val="00872EBC"/>
    <w:rsid w:val="00874FF7"/>
    <w:rsid w:val="008805C8"/>
    <w:rsid w:val="00882287"/>
    <w:rsid w:val="00883F83"/>
    <w:rsid w:val="008845E8"/>
    <w:rsid w:val="00884D2C"/>
    <w:rsid w:val="00887EFD"/>
    <w:rsid w:val="00894669"/>
    <w:rsid w:val="0089616F"/>
    <w:rsid w:val="00897001"/>
    <w:rsid w:val="00897CB4"/>
    <w:rsid w:val="008A5287"/>
    <w:rsid w:val="008B51CD"/>
    <w:rsid w:val="008B6DCB"/>
    <w:rsid w:val="008C6C7B"/>
    <w:rsid w:val="008F3E52"/>
    <w:rsid w:val="00910A1D"/>
    <w:rsid w:val="009121B0"/>
    <w:rsid w:val="009125CA"/>
    <w:rsid w:val="0091477C"/>
    <w:rsid w:val="009264EB"/>
    <w:rsid w:val="009345F5"/>
    <w:rsid w:val="00936235"/>
    <w:rsid w:val="00950F79"/>
    <w:rsid w:val="00961188"/>
    <w:rsid w:val="00961A5C"/>
    <w:rsid w:val="00964EBF"/>
    <w:rsid w:val="00967B77"/>
    <w:rsid w:val="00970070"/>
    <w:rsid w:val="00971518"/>
    <w:rsid w:val="0097697A"/>
    <w:rsid w:val="00986284"/>
    <w:rsid w:val="00991A5B"/>
    <w:rsid w:val="009926F6"/>
    <w:rsid w:val="00992FD5"/>
    <w:rsid w:val="00996622"/>
    <w:rsid w:val="009A5BA7"/>
    <w:rsid w:val="009A6430"/>
    <w:rsid w:val="009B0979"/>
    <w:rsid w:val="009B7E04"/>
    <w:rsid w:val="009C0105"/>
    <w:rsid w:val="009D0860"/>
    <w:rsid w:val="009E40FF"/>
    <w:rsid w:val="009E6DC5"/>
    <w:rsid w:val="009F22CE"/>
    <w:rsid w:val="00A06DAE"/>
    <w:rsid w:val="00A11C08"/>
    <w:rsid w:val="00A1681D"/>
    <w:rsid w:val="00A20013"/>
    <w:rsid w:val="00A26181"/>
    <w:rsid w:val="00A32B80"/>
    <w:rsid w:val="00A32F83"/>
    <w:rsid w:val="00A43A63"/>
    <w:rsid w:val="00A574ED"/>
    <w:rsid w:val="00A73A18"/>
    <w:rsid w:val="00A74143"/>
    <w:rsid w:val="00A90BFD"/>
    <w:rsid w:val="00A91052"/>
    <w:rsid w:val="00AA0300"/>
    <w:rsid w:val="00AA168D"/>
    <w:rsid w:val="00AA3131"/>
    <w:rsid w:val="00AB352E"/>
    <w:rsid w:val="00AB36F5"/>
    <w:rsid w:val="00AB3ACF"/>
    <w:rsid w:val="00AD4375"/>
    <w:rsid w:val="00AD5023"/>
    <w:rsid w:val="00AD752D"/>
    <w:rsid w:val="00AD7694"/>
    <w:rsid w:val="00AE5A77"/>
    <w:rsid w:val="00AF08AC"/>
    <w:rsid w:val="00AF21BF"/>
    <w:rsid w:val="00AF38BF"/>
    <w:rsid w:val="00B118FB"/>
    <w:rsid w:val="00B136BC"/>
    <w:rsid w:val="00B1796F"/>
    <w:rsid w:val="00B209D8"/>
    <w:rsid w:val="00B249EE"/>
    <w:rsid w:val="00B31BAE"/>
    <w:rsid w:val="00B329CB"/>
    <w:rsid w:val="00B4103E"/>
    <w:rsid w:val="00B47210"/>
    <w:rsid w:val="00B5364D"/>
    <w:rsid w:val="00B53F2D"/>
    <w:rsid w:val="00B544EB"/>
    <w:rsid w:val="00B62662"/>
    <w:rsid w:val="00B72256"/>
    <w:rsid w:val="00B74DD7"/>
    <w:rsid w:val="00B76710"/>
    <w:rsid w:val="00B818B5"/>
    <w:rsid w:val="00B8457C"/>
    <w:rsid w:val="00B911E4"/>
    <w:rsid w:val="00B950C0"/>
    <w:rsid w:val="00B9610D"/>
    <w:rsid w:val="00BA7986"/>
    <w:rsid w:val="00BB4157"/>
    <w:rsid w:val="00BB4203"/>
    <w:rsid w:val="00BB5487"/>
    <w:rsid w:val="00BC0299"/>
    <w:rsid w:val="00BC0C2F"/>
    <w:rsid w:val="00BC739F"/>
    <w:rsid w:val="00BD6B5A"/>
    <w:rsid w:val="00BE3983"/>
    <w:rsid w:val="00BE44A9"/>
    <w:rsid w:val="00BE4637"/>
    <w:rsid w:val="00BF0323"/>
    <w:rsid w:val="00BF3F89"/>
    <w:rsid w:val="00C002D5"/>
    <w:rsid w:val="00C0142E"/>
    <w:rsid w:val="00C01EDA"/>
    <w:rsid w:val="00C02768"/>
    <w:rsid w:val="00C04A97"/>
    <w:rsid w:val="00C12C67"/>
    <w:rsid w:val="00C14C5E"/>
    <w:rsid w:val="00C24235"/>
    <w:rsid w:val="00C2423E"/>
    <w:rsid w:val="00C25A99"/>
    <w:rsid w:val="00C32154"/>
    <w:rsid w:val="00C538BF"/>
    <w:rsid w:val="00C60C23"/>
    <w:rsid w:val="00C646F2"/>
    <w:rsid w:val="00C660CF"/>
    <w:rsid w:val="00C73758"/>
    <w:rsid w:val="00C83175"/>
    <w:rsid w:val="00C87216"/>
    <w:rsid w:val="00C9219C"/>
    <w:rsid w:val="00C9530A"/>
    <w:rsid w:val="00CA6667"/>
    <w:rsid w:val="00CB3533"/>
    <w:rsid w:val="00CB4607"/>
    <w:rsid w:val="00CC67A9"/>
    <w:rsid w:val="00CD5F00"/>
    <w:rsid w:val="00CE70D8"/>
    <w:rsid w:val="00CE75EB"/>
    <w:rsid w:val="00CF261C"/>
    <w:rsid w:val="00CF42BF"/>
    <w:rsid w:val="00D14D06"/>
    <w:rsid w:val="00D15825"/>
    <w:rsid w:val="00D1773F"/>
    <w:rsid w:val="00D2347B"/>
    <w:rsid w:val="00D339C2"/>
    <w:rsid w:val="00D33E57"/>
    <w:rsid w:val="00D33FBB"/>
    <w:rsid w:val="00D35252"/>
    <w:rsid w:val="00D44002"/>
    <w:rsid w:val="00D55866"/>
    <w:rsid w:val="00D57635"/>
    <w:rsid w:val="00D57872"/>
    <w:rsid w:val="00D76614"/>
    <w:rsid w:val="00D85E80"/>
    <w:rsid w:val="00D9069F"/>
    <w:rsid w:val="00D90BA3"/>
    <w:rsid w:val="00D916A4"/>
    <w:rsid w:val="00D9243B"/>
    <w:rsid w:val="00D9446B"/>
    <w:rsid w:val="00D96FCE"/>
    <w:rsid w:val="00DA164C"/>
    <w:rsid w:val="00DA2A72"/>
    <w:rsid w:val="00DB1F0E"/>
    <w:rsid w:val="00DB1F57"/>
    <w:rsid w:val="00DB7CFC"/>
    <w:rsid w:val="00DC17E3"/>
    <w:rsid w:val="00DC27CD"/>
    <w:rsid w:val="00DD2F58"/>
    <w:rsid w:val="00DD33C6"/>
    <w:rsid w:val="00DD5401"/>
    <w:rsid w:val="00DD5CA1"/>
    <w:rsid w:val="00DE0D78"/>
    <w:rsid w:val="00DE77A4"/>
    <w:rsid w:val="00DF2DA7"/>
    <w:rsid w:val="00E04D84"/>
    <w:rsid w:val="00E11E5F"/>
    <w:rsid w:val="00E148D6"/>
    <w:rsid w:val="00E3418A"/>
    <w:rsid w:val="00E34BE6"/>
    <w:rsid w:val="00E364A5"/>
    <w:rsid w:val="00E4345F"/>
    <w:rsid w:val="00E434CD"/>
    <w:rsid w:val="00E436F8"/>
    <w:rsid w:val="00E449F4"/>
    <w:rsid w:val="00E52B5E"/>
    <w:rsid w:val="00E52CE1"/>
    <w:rsid w:val="00E53E67"/>
    <w:rsid w:val="00E6153B"/>
    <w:rsid w:val="00E61734"/>
    <w:rsid w:val="00E61B97"/>
    <w:rsid w:val="00E61F1A"/>
    <w:rsid w:val="00E67B41"/>
    <w:rsid w:val="00E7051D"/>
    <w:rsid w:val="00E709D6"/>
    <w:rsid w:val="00E73351"/>
    <w:rsid w:val="00E7448D"/>
    <w:rsid w:val="00E763D9"/>
    <w:rsid w:val="00E8515B"/>
    <w:rsid w:val="00E8581E"/>
    <w:rsid w:val="00EA0642"/>
    <w:rsid w:val="00EB07CD"/>
    <w:rsid w:val="00EC15C8"/>
    <w:rsid w:val="00EC5C3D"/>
    <w:rsid w:val="00EE2270"/>
    <w:rsid w:val="00EF2FF5"/>
    <w:rsid w:val="00EF6E84"/>
    <w:rsid w:val="00F0357A"/>
    <w:rsid w:val="00F048D2"/>
    <w:rsid w:val="00F12AC6"/>
    <w:rsid w:val="00F14533"/>
    <w:rsid w:val="00F16052"/>
    <w:rsid w:val="00F23D12"/>
    <w:rsid w:val="00F2677E"/>
    <w:rsid w:val="00F27B0A"/>
    <w:rsid w:val="00F3025B"/>
    <w:rsid w:val="00F31508"/>
    <w:rsid w:val="00F31CE3"/>
    <w:rsid w:val="00F4021B"/>
    <w:rsid w:val="00F453FC"/>
    <w:rsid w:val="00F559E5"/>
    <w:rsid w:val="00F622F2"/>
    <w:rsid w:val="00F6277A"/>
    <w:rsid w:val="00F6342E"/>
    <w:rsid w:val="00F660FA"/>
    <w:rsid w:val="00F82094"/>
    <w:rsid w:val="00F843E5"/>
    <w:rsid w:val="00F8649C"/>
    <w:rsid w:val="00F86589"/>
    <w:rsid w:val="00F960CB"/>
    <w:rsid w:val="00FA4076"/>
    <w:rsid w:val="00FA4516"/>
    <w:rsid w:val="00FB447B"/>
    <w:rsid w:val="00FB5854"/>
    <w:rsid w:val="00FC257E"/>
    <w:rsid w:val="00FC2D28"/>
    <w:rsid w:val="00FD1820"/>
    <w:rsid w:val="00FD6CAA"/>
    <w:rsid w:val="00FD7729"/>
    <w:rsid w:val="00FD7A21"/>
    <w:rsid w:val="00FD7FCC"/>
    <w:rsid w:val="00FF4324"/>
  </w:rsids>
  <m:mathPr>
    <m:mathFont m:val="Cambria Math"/>
  </m:mathPr>
  <w:themeFontLang w:val="en-AU"/>
  <w:clrSchemeMapping w:bg1="light1" w:t1="dark1" w:bg2="light2" w:t2="dark2" w:accent1="accent1" w:accent2="accent2" w:accent3="accent3" w:accent4="accent4" w:accent5="accent5" w:accent6="accent6" w:hyperlink="hyperlink" w:followedHyperlink="followedHyperlink"/>
  <w14:docId w14:val="5B6DE972"/>
  <w15:chartTrackingRefBased/>
  <w15:docId w15:val="{9484522D-40FD-4F62-8642-C46B5A354A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2"/>
        <w:szCs w:val="22"/>
        <w:lang w:val="en-A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A0642"/>
    <w:pPr>
      <w:spacing w:before="120" w:after="120" w:line="240" w:lineRule="auto"/>
    </w:pPr>
    <w:rPr>
      <w:rFonts w:ascii="Times New Roman" w:hAnsi="Times New Roman" w:cs="Times New Roman"/>
      <w:sz w:val="24"/>
      <w:szCs w:val="24"/>
    </w:rPr>
  </w:style>
  <w:style w:type="paragraph" w:styleId="Heading1">
    <w:name w:val="heading 1"/>
    <w:basedOn w:val="Heading2"/>
    <w:next w:val="Normal"/>
    <w:link w:val="Heading1Char"/>
    <w:uiPriority w:val="9"/>
    <w:qFormat/>
    <w:rsid w:val="00BC0299"/>
    <w:pPr>
      <w:keepNext/>
      <w:spacing w:after="60"/>
      <w:outlineLvl w:val="0"/>
    </w:pPr>
  </w:style>
  <w:style w:type="paragraph" w:styleId="Heading2">
    <w:name w:val="heading 2"/>
    <w:basedOn w:val="Normal"/>
    <w:next w:val="Normal"/>
    <w:link w:val="Heading2Char"/>
    <w:uiPriority w:val="9"/>
    <w:unhideWhenUsed/>
    <w:rsid w:val="00736341"/>
    <w:pPr>
      <w:spacing w:before="360"/>
      <w:outlineLvl w:val="1"/>
    </w:pPr>
    <w:rPr>
      <w:b/>
      <w:bCs/>
      <w:sz w:val="32"/>
      <w:szCs w:val="32"/>
    </w:rPr>
  </w:style>
  <w:style w:type="paragraph" w:styleId="Heading3">
    <w:name w:val="heading 3"/>
    <w:basedOn w:val="Normal"/>
    <w:next w:val="Normal"/>
    <w:link w:val="Heading3Char"/>
    <w:uiPriority w:val="9"/>
    <w:semiHidden/>
    <w:unhideWhenUsed/>
    <w:rsid w:val="009926F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926F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926F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926F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926F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926F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926F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C0299"/>
    <w:rPr>
      <w:rFonts w:ascii="Times New Roman" w:hAnsi="Times New Roman" w:cs="Times New Roman"/>
      <w:b/>
      <w:bCs/>
      <w:sz w:val="32"/>
      <w:szCs w:val="32"/>
    </w:rPr>
  </w:style>
  <w:style w:type="character" w:customStyle="1" w:styleId="Heading2Char">
    <w:name w:val="Heading 2 Char"/>
    <w:basedOn w:val="DefaultParagraphFont"/>
    <w:link w:val="Heading2"/>
    <w:uiPriority w:val="9"/>
    <w:rsid w:val="00736341"/>
    <w:rPr>
      <w:rFonts w:ascii="Times New Roman" w:hAnsi="Times New Roman" w:cs="Times New Roman"/>
      <w:b/>
      <w:bCs/>
      <w:sz w:val="32"/>
      <w:szCs w:val="32"/>
    </w:rPr>
  </w:style>
  <w:style w:type="character" w:customStyle="1" w:styleId="Heading3Char">
    <w:name w:val="Heading 3 Char"/>
    <w:basedOn w:val="DefaultParagraphFont"/>
    <w:link w:val="Heading3"/>
    <w:uiPriority w:val="9"/>
    <w:semiHidden/>
    <w:rsid w:val="009926F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926F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926F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926F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926F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926F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926F6"/>
    <w:rPr>
      <w:rFonts w:eastAsiaTheme="majorEastAsia" w:cstheme="majorBidi"/>
      <w:color w:val="272727" w:themeColor="text1" w:themeTint="D8"/>
    </w:rPr>
  </w:style>
  <w:style w:type="paragraph" w:styleId="Title">
    <w:name w:val="Title"/>
    <w:basedOn w:val="Heading1"/>
    <w:next w:val="Normal"/>
    <w:link w:val="TitleChar"/>
    <w:uiPriority w:val="10"/>
    <w:qFormat/>
    <w:rsid w:val="00262572"/>
    <w:pPr>
      <w:spacing w:before="5040"/>
      <w:jc w:val="center"/>
    </w:pPr>
    <w:rPr>
      <w:sz w:val="48"/>
      <w:szCs w:val="48"/>
    </w:rPr>
  </w:style>
  <w:style w:type="character" w:customStyle="1" w:styleId="TitleChar">
    <w:name w:val="Title Char"/>
    <w:basedOn w:val="DefaultParagraphFont"/>
    <w:link w:val="Title"/>
    <w:uiPriority w:val="10"/>
    <w:rsid w:val="00262572"/>
    <w:rPr>
      <w:rFonts w:ascii="Times New Roman" w:hAnsi="Times New Roman" w:cs="Times New Roman"/>
      <w:b/>
      <w:bCs/>
      <w:sz w:val="48"/>
      <w:szCs w:val="48"/>
    </w:rPr>
  </w:style>
  <w:style w:type="paragraph" w:styleId="Subtitle">
    <w:name w:val="Subtitle"/>
    <w:basedOn w:val="Normal"/>
    <w:next w:val="Normal"/>
    <w:link w:val="SubtitleChar"/>
    <w:uiPriority w:val="11"/>
    <w:qFormat/>
    <w:rsid w:val="009926F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926F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926F6"/>
    <w:pPr>
      <w:spacing w:before="160"/>
      <w:jc w:val="center"/>
    </w:pPr>
    <w:rPr>
      <w:i/>
      <w:iCs/>
      <w:color w:val="404040" w:themeColor="text1" w:themeTint="BF"/>
    </w:rPr>
  </w:style>
  <w:style w:type="character" w:customStyle="1" w:styleId="QuoteChar">
    <w:name w:val="Quote Char"/>
    <w:basedOn w:val="DefaultParagraphFont"/>
    <w:link w:val="Quote"/>
    <w:uiPriority w:val="29"/>
    <w:rsid w:val="009926F6"/>
    <w:rPr>
      <w:i/>
      <w:iCs/>
      <w:color w:val="404040" w:themeColor="text1" w:themeTint="BF"/>
    </w:rPr>
  </w:style>
  <w:style w:type="paragraph" w:styleId="ListParagraph">
    <w:name w:val="List Paragraph"/>
    <w:basedOn w:val="Normal"/>
    <w:uiPriority w:val="34"/>
    <w:qFormat/>
    <w:rsid w:val="009926F6"/>
    <w:pPr>
      <w:ind w:left="720"/>
      <w:contextualSpacing/>
    </w:pPr>
  </w:style>
  <w:style w:type="character" w:styleId="IntenseEmphasis">
    <w:name w:val="Intense Emphasis"/>
    <w:basedOn w:val="DefaultParagraphFont"/>
    <w:uiPriority w:val="21"/>
    <w:qFormat/>
    <w:rsid w:val="009926F6"/>
    <w:rPr>
      <w:i/>
      <w:iCs/>
      <w:color w:val="0F4761" w:themeColor="accent1" w:themeShade="BF"/>
    </w:rPr>
  </w:style>
  <w:style w:type="paragraph" w:styleId="IntenseQuote">
    <w:name w:val="Intense Quote"/>
    <w:basedOn w:val="Normal"/>
    <w:next w:val="Normal"/>
    <w:link w:val="IntenseQuoteChar"/>
    <w:uiPriority w:val="30"/>
    <w:qFormat/>
    <w:rsid w:val="009926F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926F6"/>
    <w:rPr>
      <w:i/>
      <w:iCs/>
      <w:color w:val="0F4761" w:themeColor="accent1" w:themeShade="BF"/>
    </w:rPr>
  </w:style>
  <w:style w:type="character" w:styleId="IntenseReference">
    <w:name w:val="Intense Reference"/>
    <w:basedOn w:val="DefaultParagraphFont"/>
    <w:uiPriority w:val="32"/>
    <w:qFormat/>
    <w:rsid w:val="009926F6"/>
    <w:rPr>
      <w:b/>
      <w:bCs/>
      <w:smallCaps/>
      <w:color w:val="0F4761" w:themeColor="accent1" w:themeShade="BF"/>
      <w:spacing w:val="5"/>
    </w:rPr>
  </w:style>
  <w:style w:type="paragraph" w:styleId="Header">
    <w:name w:val="header"/>
    <w:basedOn w:val="Normal"/>
    <w:link w:val="HeaderChar"/>
    <w:uiPriority w:val="99"/>
    <w:unhideWhenUsed/>
    <w:rsid w:val="009926F6"/>
    <w:pPr>
      <w:tabs>
        <w:tab w:val="center" w:pos="4513"/>
        <w:tab w:val="right" w:pos="9026"/>
      </w:tabs>
      <w:spacing w:after="0"/>
    </w:pPr>
  </w:style>
  <w:style w:type="character" w:customStyle="1" w:styleId="HeaderChar">
    <w:name w:val="Header Char"/>
    <w:basedOn w:val="DefaultParagraphFont"/>
    <w:link w:val="Header"/>
    <w:uiPriority w:val="99"/>
    <w:rsid w:val="009926F6"/>
  </w:style>
  <w:style w:type="paragraph" w:styleId="Footer">
    <w:name w:val="footer"/>
    <w:basedOn w:val="Normal"/>
    <w:link w:val="FooterChar"/>
    <w:uiPriority w:val="99"/>
    <w:unhideWhenUsed/>
    <w:rsid w:val="009926F6"/>
    <w:pPr>
      <w:tabs>
        <w:tab w:val="center" w:pos="4513"/>
        <w:tab w:val="right" w:pos="9026"/>
      </w:tabs>
      <w:spacing w:after="0"/>
    </w:pPr>
  </w:style>
  <w:style w:type="character" w:customStyle="1" w:styleId="FooterChar">
    <w:name w:val="Footer Char"/>
    <w:basedOn w:val="DefaultParagraphFont"/>
    <w:link w:val="Footer"/>
    <w:uiPriority w:val="99"/>
    <w:rsid w:val="009926F6"/>
  </w:style>
  <w:style w:type="table" w:styleId="TableGrid">
    <w:name w:val="Table Grid"/>
    <w:basedOn w:val="TableNormal"/>
    <w:uiPriority w:val="39"/>
    <w:rsid w:val="0033035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rsid w:val="007F18D6"/>
    <w:rPr>
      <w:i/>
    </w:rPr>
  </w:style>
  <w:style w:type="paragraph" w:styleId="BodyText">
    <w:name w:val="Body Text"/>
    <w:basedOn w:val="Normal"/>
    <w:link w:val="BodyTextChar"/>
    <w:rsid w:val="000670DA"/>
    <w:pPr>
      <w:keepLines/>
    </w:pPr>
    <w:rPr>
      <w:rFonts w:eastAsia="Times New Roman"/>
      <w:kern w:val="0"/>
      <w:szCs w:val="22"/>
      <w14:ligatures w14:val="none"/>
    </w:rPr>
  </w:style>
  <w:style w:type="character" w:customStyle="1" w:styleId="BodyTextChar">
    <w:name w:val="Body Text Char"/>
    <w:basedOn w:val="DefaultParagraphFont"/>
    <w:link w:val="BodyText"/>
    <w:rsid w:val="000670DA"/>
    <w:rPr>
      <w:rFonts w:ascii="Times New Roman" w:eastAsia="Times New Roman" w:hAnsi="Times New Roman" w:cs="Times New Roman"/>
      <w:kern w:val="0"/>
      <w:sz w:val="24"/>
      <w14:ligatures w14:val="none"/>
    </w:rPr>
  </w:style>
  <w:style w:type="paragraph" w:customStyle="1" w:styleId="BodyTextBold">
    <w:name w:val="Body Text Bold"/>
    <w:basedOn w:val="BodyText"/>
    <w:qFormat/>
    <w:rsid w:val="000670DA"/>
    <w:rPr>
      <w:b/>
    </w:rPr>
  </w:style>
  <w:style w:type="paragraph" w:styleId="ListBullet">
    <w:name w:val="List Bullet"/>
    <w:basedOn w:val="List"/>
    <w:rsid w:val="00D916A4"/>
    <w:pPr>
      <w:keepLines/>
      <w:numPr>
        <w:numId w:val="1"/>
      </w:numPr>
      <w:spacing w:before="40" w:after="40"/>
      <w:contextualSpacing w:val="0"/>
    </w:pPr>
    <w:rPr>
      <w:rFonts w:eastAsia="Times New Roman"/>
      <w:kern w:val="0"/>
      <w:szCs w:val="22"/>
      <w14:ligatures w14:val="none"/>
    </w:rPr>
  </w:style>
  <w:style w:type="paragraph" w:customStyle="1" w:styleId="SmallText">
    <w:name w:val="Small Text"/>
    <w:basedOn w:val="Normal"/>
    <w:qFormat/>
    <w:rsid w:val="00D916A4"/>
    <w:pPr>
      <w:keepNext/>
      <w:keepLines/>
      <w:spacing w:before="0" w:after="0"/>
    </w:pPr>
    <w:rPr>
      <w:rFonts w:ascii="Tahoma" w:eastAsia="Times New Roman" w:hAnsi="Tahoma"/>
      <w:kern w:val="0"/>
      <w:sz w:val="16"/>
      <w:szCs w:val="20"/>
      <w14:ligatures w14:val="none"/>
    </w:rPr>
  </w:style>
  <w:style w:type="paragraph" w:customStyle="1" w:styleId="WhiteCentredHeading">
    <w:name w:val="White Centred Heading"/>
    <w:basedOn w:val="Heading1"/>
    <w:qFormat/>
    <w:rsid w:val="00D916A4"/>
    <w:pPr>
      <w:jc w:val="center"/>
    </w:pPr>
    <w:rPr>
      <w:rFonts w:eastAsia="Times New Roman"/>
      <w:bCs w:val="0"/>
      <w:color w:val="FFFFFF" w:themeColor="background1"/>
      <w:kern w:val="0"/>
      <w:sz w:val="24"/>
      <w:szCs w:val="20"/>
      <w14:ligatures w14:val="none"/>
    </w:rPr>
  </w:style>
  <w:style w:type="paragraph" w:styleId="List">
    <w:name w:val="List"/>
    <w:basedOn w:val="Normal"/>
    <w:uiPriority w:val="99"/>
    <w:semiHidden/>
    <w:unhideWhenUsed/>
    <w:rsid w:val="00D916A4"/>
    <w:pPr>
      <w:ind w:left="283" w:hanging="283"/>
      <w:contextualSpacing/>
    </w:pPr>
  </w:style>
  <w:style w:type="paragraph" w:styleId="TOCHeading">
    <w:name w:val="TOC Heading"/>
    <w:basedOn w:val="Heading1"/>
    <w:next w:val="Normal"/>
    <w:uiPriority w:val="39"/>
    <w:unhideWhenUsed/>
    <w:qFormat/>
    <w:rsid w:val="008F3E52"/>
    <w:pPr>
      <w:keepLines/>
      <w:spacing w:line="259" w:lineRule="auto"/>
      <w:jc w:val="center"/>
      <w:outlineLvl w:val="9"/>
    </w:pPr>
    <w:rPr>
      <w:rFonts w:asciiTheme="majorHAnsi" w:eastAsiaTheme="majorEastAsia" w:hAnsiTheme="majorHAnsi" w:cstheme="majorBidi"/>
      <w:bCs w:val="0"/>
      <w:kern w:val="0"/>
      <w:lang w:val="en-US"/>
      <w14:ligatures w14:val="none"/>
    </w:rPr>
  </w:style>
  <w:style w:type="paragraph" w:styleId="TOC1">
    <w:name w:val="toc 1"/>
    <w:basedOn w:val="Normal"/>
    <w:next w:val="Normal"/>
    <w:autoRedefine/>
    <w:uiPriority w:val="39"/>
    <w:unhideWhenUsed/>
    <w:rsid w:val="004F165C"/>
    <w:pPr>
      <w:spacing w:after="100"/>
    </w:pPr>
  </w:style>
  <w:style w:type="character" w:styleId="Hyperlink">
    <w:name w:val="Hyperlink"/>
    <w:basedOn w:val="DefaultParagraphFont"/>
    <w:uiPriority w:val="99"/>
    <w:unhideWhenUsed/>
    <w:rsid w:val="004F165C"/>
    <w:rPr>
      <w:color w:val="467886" w:themeColor="hyperlink"/>
      <w:u w:val="single"/>
    </w:rPr>
  </w:style>
  <w:style w:type="paragraph" w:customStyle="1" w:styleId="Title-TOCExcluded">
    <w:name w:val="Title - TOC Excluded"/>
    <w:link w:val="Title-TOCExcludedChar"/>
    <w:qFormat/>
    <w:rsid w:val="00B911E4"/>
    <w:pPr>
      <w:jc w:val="center"/>
    </w:pPr>
    <w:rPr>
      <w:rFonts w:ascii="Times New Roman" w:hAnsi="Times New Roman" w:cs="Times New Roman"/>
      <w:b/>
      <w:bCs/>
      <w:sz w:val="48"/>
      <w:szCs w:val="48"/>
    </w:rPr>
  </w:style>
  <w:style w:type="character" w:customStyle="1" w:styleId="Title-TOCExcludedChar">
    <w:name w:val="Title - TOC Excluded Char"/>
    <w:basedOn w:val="DefaultParagraphFont"/>
    <w:link w:val="Title-TOCExcluded"/>
    <w:rsid w:val="00B911E4"/>
    <w:rPr>
      <w:rFonts w:ascii="Times New Roman" w:hAnsi="Times New Roman" w:cs="Times New Roman"/>
      <w:b/>
      <w:bCs/>
      <w:sz w:val="48"/>
      <w:szCs w:val="48"/>
    </w:rPr>
  </w:style>
  <w:style w:type="paragraph" w:customStyle="1" w:styleId="ChapterTitle">
    <w:name w:val="Chapter Title"/>
    <w:basedOn w:val="Heading1"/>
    <w:next w:val="Normal"/>
    <w:link w:val="ChapterTitleChar"/>
    <w:qFormat/>
    <w:rsid w:val="00C87216"/>
    <w:pPr>
      <w:spacing w:before="240"/>
    </w:pPr>
    <w:rPr>
      <w:bCs w:val="0"/>
    </w:rPr>
  </w:style>
  <w:style w:type="character" w:customStyle="1" w:styleId="ChapterTitleChar">
    <w:name w:val="Chapter Title Char"/>
    <w:basedOn w:val="DefaultParagraphFont"/>
    <w:link w:val="ChapterTitle"/>
    <w:rsid w:val="00C87216"/>
    <w:rPr>
      <w:rFonts w:ascii="Times New Roman" w:hAnsi="Times New Roman" w:cs="Times New Roman"/>
      <w:b/>
      <w:sz w:val="32"/>
      <w:szCs w:val="32"/>
    </w:rPr>
  </w:style>
  <w:style w:type="character" w:styleId="Strong">
    <w:name w:val="Strong"/>
    <w:basedOn w:val="DefaultParagraphFont"/>
    <w:uiPriority w:val="22"/>
    <w:qFormat/>
    <w:rsid w:val="00506D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3.xml"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yperlink" Target="https://training.gov.au/training/details/AMP" TargetMode="External" /><Relationship Id="rId14" Type="http://schemas.openxmlformats.org/officeDocument/2006/relationships/header" Target="header5.xml" /><Relationship Id="rId15" Type="http://schemas.openxmlformats.org/officeDocument/2006/relationships/header" Target="header6.xml" /><Relationship Id="rId16" Type="http://schemas.openxmlformats.org/officeDocument/2006/relationships/footer" Target="footer5.xml" /><Relationship Id="rId17" Type="http://schemas.openxmlformats.org/officeDocument/2006/relationships/footer" Target="footer6.xml" /><Relationship Id="rId18" Type="http://schemas.openxmlformats.org/officeDocument/2006/relationships/header" Target="header7.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theme" Target="theme/theme1.xml" /><Relationship Id="rId21" Type="http://schemas.openxmlformats.org/officeDocument/2006/relationships/numbering" Target="numbering.xml" /><Relationship Id="rId22"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footer" Target="footer1.xml" /><Relationship Id="rId7" Type="http://schemas.openxmlformats.org/officeDocument/2006/relationships/header" Target="header2.xml" /><Relationship Id="rId8" Type="http://schemas.openxmlformats.org/officeDocument/2006/relationships/header" Target="header3.xml" /><Relationship Id="rId9" Type="http://schemas.openxmlformats.org/officeDocument/2006/relationships/footer" Target="footer2.xml" /></Relationships>
</file>

<file path=word/_rels/header1.xml.rels><?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715D1FD-CC37-42A8-9988-D7D032043C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Words>
  <Characters>14</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Skills Insight</Company>
  <LinksUpToDate>false</LinksUpToDate>
  <CharactersWithSpaces>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AMPCRP225 Assess dentition</dc:title>
  <dc:subject>Release: 2</dc:subject>
  <dc:creator>Skills Insight</dc:creator>
  <cp:keywords>TPC v2.32.0-beta.1+1965.Branch.releases-2026-07-29-V1.Sha.a6f7f7d63a60b97136644098024a3fe613b14521.a6f7f7d63a60b97136644098024a3fe613b14521</cp:keywords>
  <cp:lastModifiedBy>TPC</cp:lastModifiedBy>
  <cp:revision>9</cp:revision>
  <dcterms:created xsi:type="dcterms:W3CDTF">2026-09-09T22:46:46Z</dcterms:created>
  <dcterms:modified xsi:type="dcterms:W3CDTF">2026-09-09T22:46:46Z</dcterms:modified>
  <cp:contentStatus>Published</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ActionId">
    <vt:lpwstr>abd97b8f-d1c9-4757-9d6f-2d16a89172d4</vt:lpwstr>
  </property>
  <property fmtid="{D5CDD505-2E9C-101B-9397-08002B2CF9AE}" pid="3" name="MSIP_Label_79d889eb-932f-4752-8739-64d25806ef64_ContentBits">
    <vt:lpwstr>0</vt:lpwstr>
  </property>
  <property fmtid="{D5CDD505-2E9C-101B-9397-08002B2CF9AE}" pid="4" name="MSIP_Label_79d889eb-932f-4752-8739-64d25806ef64_Enabled">
    <vt:lpwstr>true</vt:lpwstr>
  </property>
  <property fmtid="{D5CDD505-2E9C-101B-9397-08002B2CF9AE}" pid="5" name="MSIP_Label_79d889eb-932f-4752-8739-64d25806ef64_Method">
    <vt:lpwstr>Privileged</vt:lpwstr>
  </property>
  <property fmtid="{D5CDD505-2E9C-101B-9397-08002B2CF9AE}" pid="6" name="MSIP_Label_79d889eb-932f-4752-8739-64d25806ef64_Name">
    <vt:lpwstr>79d889eb-932f-4752-8739-64d25806ef64</vt:lpwstr>
  </property>
  <property fmtid="{D5CDD505-2E9C-101B-9397-08002B2CF9AE}" pid="7" name="MSIP_Label_79d889eb-932f-4752-8739-64d25806ef64_SetDate">
    <vt:lpwstr>2024-11-13T03:44:06Z</vt:lpwstr>
  </property>
  <property fmtid="{D5CDD505-2E9C-101B-9397-08002B2CF9AE}" pid="8" name="MSIP_Label_79d889eb-932f-4752-8739-64d25806ef64_SiteId">
    <vt:lpwstr>dd0cfd15-4558-4b12-8bad-ea26984fc417</vt:lpwstr>
  </property>
  <property fmtid="{D5CDD505-2E9C-101B-9397-08002B2CF9AE}" pid="9" name="MSIP_Label_8b160e8f-e4bd-494f-8ddf-e78e1834eb0e_ActionId">
    <vt:lpwstr>5670ec57-b4f4-4914-985d-2cf22212a888</vt:lpwstr>
  </property>
  <property fmtid="{D5CDD505-2E9C-101B-9397-08002B2CF9AE}" pid="10" name="MSIP_Label_8b160e8f-e4bd-494f-8ddf-e78e1834eb0e_ContentBits">
    <vt:lpwstr>0</vt:lpwstr>
  </property>
  <property fmtid="{D5CDD505-2E9C-101B-9397-08002B2CF9AE}" pid="11" name="MSIP_Label_8b160e8f-e4bd-494f-8ddf-e78e1834eb0e_Enabled">
    <vt:lpwstr>true</vt:lpwstr>
  </property>
  <property fmtid="{D5CDD505-2E9C-101B-9397-08002B2CF9AE}" pid="12" name="MSIP_Label_8b160e8f-e4bd-494f-8ddf-e78e1834eb0e_Method">
    <vt:lpwstr>Privileged</vt:lpwstr>
  </property>
  <property fmtid="{D5CDD505-2E9C-101B-9397-08002B2CF9AE}" pid="13" name="MSIP_Label_8b160e8f-e4bd-494f-8ddf-e78e1834eb0e_Name">
    <vt:lpwstr>General</vt:lpwstr>
  </property>
  <property fmtid="{D5CDD505-2E9C-101B-9397-08002B2CF9AE}" pid="14" name="MSIP_Label_8b160e8f-e4bd-494f-8ddf-e78e1834eb0e_SetDate">
    <vt:lpwstr>2024-11-28T04:30:51Z</vt:lpwstr>
  </property>
  <property fmtid="{D5CDD505-2E9C-101B-9397-08002B2CF9AE}" pid="15" name="MSIP_Label_8b160e8f-e4bd-494f-8ddf-e78e1834eb0e_SiteId">
    <vt:lpwstr>ff8a34aa-31fe-4a22-9c22-29e2af4a065d</vt:lpwstr>
  </property>
</Properties>
</file>