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B7D" w:rsidP="004E1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AMPCOR204 Follow safe work policies and procedures</w:t>
      </w:r>
      <w:r>
        <w:fldChar w:fldCharType="end"/>
      </w:r>
    </w:p>
    <w:p w:rsidR="004E1B7D" w:rsidP="004E1B7D">
      <w:pPr>
        <w:pStyle w:val="Version"/>
        <w:sectPr w:rsidSect="006F2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2D7A" w:rsidP="006F2D7A">
      <w:pPr>
        <w:pStyle w:val="SuperHeading"/>
      </w:pPr>
      <w:r w:rsidRPr="006F2D7A">
        <w:t>AMPCOR204 Follow safe work policies and procedures</w:t>
      </w:r>
    </w:p>
    <w:p w:rsidR="00000000" w:rsidRPr="006F2D7A" w:rsidP="006F2D7A">
      <w:pPr>
        <w:pStyle w:val="Heading1"/>
      </w:pPr>
      <w:bookmarkStart w:id="1" w:name="O_1142255"/>
      <w:bookmarkEnd w:id="1"/>
      <w:r w:rsidRPr="006F2D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Comments</w:t>
            </w:r>
          </w:p>
        </w:tc>
      </w:tr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This version released with AMP Australian Meat Processing Training Package Version 5.0.</w:t>
            </w:r>
          </w:p>
        </w:tc>
      </w:tr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This version released with AMP Australian Meat Processing Training Package Version 1.0.</w:t>
            </w:r>
          </w:p>
        </w:tc>
      </w:tr>
    </w:tbl>
    <w:p w:rsidR="00000000" w:rsidRPr="006F2D7A" w:rsidP="006F2D7A">
      <w:pPr>
        <w:pStyle w:val="BodyText"/>
      </w:pPr>
    </w:p>
    <w:p w:rsidR="00000000" w:rsidRPr="006F2D7A" w:rsidP="006F2D7A">
      <w:pPr>
        <w:pStyle w:val="AllowPageBreak"/>
      </w:pPr>
    </w:p>
    <w:p w:rsidR="00000000" w:rsidRPr="006F2D7A" w:rsidP="006F2D7A">
      <w:pPr>
        <w:pStyle w:val="Heading1"/>
      </w:pPr>
      <w:bookmarkStart w:id="2" w:name="O_1142254"/>
      <w:bookmarkEnd w:id="2"/>
      <w:r w:rsidRPr="006F2D7A">
        <w:t>Application</w:t>
      </w:r>
    </w:p>
    <w:p w:rsidR="00000000" w:rsidRPr="006F2D7A" w:rsidP="004E1B7D">
      <w:pPr>
        <w:pStyle w:val="BodyText"/>
      </w:pPr>
      <w:r w:rsidRPr="006F2D7A">
        <w:t>This unit describes the skills and knowledge required to work safely in a meat establishment.</w:t>
      </w:r>
    </w:p>
    <w:p w:rsidR="00000000" w:rsidRPr="006F2D7A" w:rsidP="004E1B7D">
      <w:pPr>
        <w:pStyle w:val="BodyText"/>
      </w:pPr>
      <w:r w:rsidRPr="006F2D7A">
        <w:t>This unit is applicable to workers in abattoirs, knackeries, boning rooms, game processing plants, smallgoods plants, food services operatio</w:t>
      </w:r>
      <w:r w:rsidRPr="006F2D7A">
        <w:t>ns, wholesalers and meat retail premises.</w:t>
      </w:r>
    </w:p>
    <w:p w:rsidR="00000000" w:rsidRPr="006F2D7A" w:rsidP="004E1B7D">
      <w:pPr>
        <w:pStyle w:val="BodyText"/>
      </w:pPr>
      <w:r w:rsidRPr="006F2D7A">
        <w:t>This unit must be delivered and assessed in the context of Australian meat industry standards and regulations.</w:t>
      </w:r>
    </w:p>
    <w:p w:rsidR="00000000" w:rsidRPr="006F2D7A" w:rsidP="004E1B7D">
      <w:pPr>
        <w:pStyle w:val="BodyText"/>
      </w:pPr>
      <w:r w:rsidRPr="006F2D7A">
        <w:t xml:space="preserve">No licensing, legislative or certification requirements are known to apply to this unit at the time of </w:t>
      </w:r>
      <w:r w:rsidRPr="006F2D7A">
        <w:t>publication.</w:t>
      </w:r>
    </w:p>
    <w:p w:rsidR="00000000" w:rsidRPr="006F2D7A" w:rsidP="006F2D7A">
      <w:pPr>
        <w:pStyle w:val="Heading1"/>
      </w:pPr>
      <w:bookmarkStart w:id="3" w:name="O_1142253"/>
      <w:bookmarkEnd w:id="3"/>
      <w:r w:rsidRPr="006F2D7A">
        <w:t>Pre-requisite Unit</w:t>
      </w:r>
    </w:p>
    <w:p w:rsidR="00000000" w:rsidRPr="006F2D7A" w:rsidP="004E1B7D">
      <w:pPr>
        <w:pStyle w:val="BodyText"/>
      </w:pPr>
      <w:r w:rsidRPr="006F2D7A">
        <w:t>Nil</w:t>
      </w:r>
    </w:p>
    <w:p w:rsidR="00000000" w:rsidRPr="006F2D7A" w:rsidP="006F2D7A">
      <w:pPr>
        <w:pStyle w:val="Heading1"/>
      </w:pPr>
      <w:bookmarkStart w:id="4" w:name="O_1142252"/>
      <w:bookmarkEnd w:id="4"/>
      <w:r w:rsidRPr="006F2D7A">
        <w:t>Unit Sector</w:t>
      </w:r>
    </w:p>
    <w:p w:rsidR="00000000" w:rsidRPr="006F2D7A" w:rsidP="006F2D7A">
      <w:pPr>
        <w:pStyle w:val="Heading1"/>
      </w:pPr>
      <w:bookmarkStart w:id="5" w:name="O_1142251"/>
      <w:bookmarkEnd w:id="5"/>
      <w:r w:rsidRPr="006F2D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Performance Criteria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rPr>
                <w:rStyle w:val="Emphasis"/>
              </w:rPr>
              <w:t>Performance</w:t>
            </w:r>
            <w:r w:rsidRPr="006F2D7A">
              <w:rPr>
                <w:rStyle w:val="Emphasis"/>
              </w:rPr>
              <w:t xml:space="preserve"> criteria describe the performance needed to demonstrate achievement of the element.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1. Understand and fulfil workplace health and safety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1.1 Meet workplace health and safety responsibilities according to regulatory and workplace requirem</w:t>
            </w:r>
            <w:r w:rsidRPr="006F2D7A">
              <w:t>ents</w:t>
            </w:r>
          </w:p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1.2 Recognise and explain workplace health and safety responsibilities of key personnel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 xml:space="preserve">2. Follow workplace </w:t>
            </w:r>
            <w:r w:rsidRPr="006F2D7A">
              <w:t>health and safety policies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 xml:space="preserve">2.1 Follow workplace health and safety policies, procedures and </w:t>
            </w:r>
            <w:r w:rsidRPr="006F2D7A">
              <w:t>programs</w:t>
            </w:r>
          </w:p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2.2 Use, maintain and store Personal Protective Equipment (PPE) as appropriate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3. Follow legal provisions related to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3.1 Follow relevant provisions of workplace health and safety legislation and codes of practice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4. Contribute</w:t>
            </w:r>
            <w:r w:rsidRPr="006F2D7A">
              <w:t xml:space="preserve"> to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4.1 Raise workplace health and safety issues with designated personnel in accordance with workplace requirements and relevant legislation</w:t>
            </w:r>
          </w:p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4.2 Contribute to WHS through participation appropriate to the scope of own responsibi</w:t>
            </w:r>
            <w:r w:rsidRPr="006F2D7A">
              <w:t>lities and competencies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5. Follow workplace requirements for hazard identification and risk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5.1 Recognise and report hazards to health and safety in the work area to designated personnel according to workplace requirements</w:t>
            </w:r>
          </w:p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5.2 Follow workplace req</w:t>
            </w:r>
            <w:r w:rsidRPr="006F2D7A">
              <w:t>uirements for controlling risks to health and safety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6. Follow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6.1 Follow emergency procedures according to workplace requirements</w:t>
            </w:r>
          </w:p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6.2 Follow reporting procedures for emergencies according to workplace requirements</w:t>
            </w:r>
          </w:p>
        </w:tc>
      </w:tr>
      <w:tr w:rsidTr="004E1B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7. Operate machine</w:t>
            </w:r>
            <w:r w:rsidRPr="006F2D7A">
              <w:t>ry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7.1 Operate machinery according to safe work practices and procedures</w:t>
            </w:r>
          </w:p>
          <w:p w:rsidR="00000000" w:rsidRPr="006F2D7A" w:rsidP="006F2D7A">
            <w:pPr>
              <w:pStyle w:val="BodyText"/>
            </w:pPr>
            <w:r w:rsidRPr="006F2D7A">
              <w:t>7.2 Operate and maintain machinery according to manufacturer specifications and workplace requirements</w:t>
            </w:r>
          </w:p>
        </w:tc>
      </w:tr>
    </w:tbl>
    <w:p w:rsidR="00000000" w:rsidRPr="006F2D7A" w:rsidP="006F2D7A">
      <w:pPr>
        <w:pStyle w:val="List"/>
      </w:pPr>
    </w:p>
    <w:p w:rsidR="00000000" w:rsidRPr="006F2D7A" w:rsidP="006F2D7A">
      <w:pPr>
        <w:pStyle w:val="AllowPageBreak"/>
      </w:pPr>
    </w:p>
    <w:p w:rsidR="00000000" w:rsidRPr="006F2D7A" w:rsidP="006F2D7A">
      <w:pPr>
        <w:pStyle w:val="Heading1"/>
      </w:pPr>
      <w:bookmarkStart w:id="6" w:name="O_1142250"/>
      <w:bookmarkEnd w:id="6"/>
      <w:r w:rsidRPr="006F2D7A">
        <w:t>Foundation Skills</w:t>
      </w:r>
    </w:p>
    <w:p w:rsidR="00000000" w:rsidRPr="004E1B7D" w:rsidP="004E1B7D">
      <w:pPr>
        <w:pStyle w:val="BodyText"/>
        <w:rPr>
          <w:i/>
        </w:rPr>
      </w:pPr>
      <w:r w:rsidRPr="004E1B7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Description</w:t>
            </w:r>
          </w:p>
        </w:tc>
      </w:tr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>Foundation Skills essential to performance ar</w:t>
            </w:r>
            <w:r w:rsidRPr="006F2D7A">
              <w:t>e explicit in the performance criteria of this unit of competency.</w:t>
            </w:r>
          </w:p>
        </w:tc>
      </w:tr>
    </w:tbl>
    <w:p w:rsidR="00000000" w:rsidRPr="006F2D7A" w:rsidP="006F2D7A">
      <w:pPr>
        <w:pStyle w:val="BodyText"/>
      </w:pPr>
    </w:p>
    <w:p w:rsidR="00000000" w:rsidRPr="006F2D7A" w:rsidP="006F2D7A">
      <w:pPr>
        <w:pStyle w:val="AllowPageBreak"/>
      </w:pPr>
    </w:p>
    <w:p w:rsidR="00000000" w:rsidRPr="006F2D7A" w:rsidP="006F2D7A">
      <w:pPr>
        <w:pStyle w:val="Heading1"/>
      </w:pPr>
      <w:bookmarkStart w:id="7" w:name="O_1142248"/>
      <w:bookmarkEnd w:id="7"/>
      <w:r w:rsidRPr="006F2D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Bold"/>
              <w:rPr>
                <w:lang w:val="en-NZ"/>
              </w:rPr>
            </w:pPr>
            <w:r w:rsidRPr="006F2D7A">
              <w:t>Equivalence status</w:t>
            </w:r>
          </w:p>
        </w:tc>
      </w:tr>
      <w:tr w:rsidTr="006F2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AMPCOR204 Follow safe work policies and procedures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AMPCOR204 Follow safe work policies and procedures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D7A">
            <w:pPr>
              <w:pStyle w:val="BodyText"/>
              <w:rPr>
                <w:lang w:val="en-NZ"/>
              </w:rPr>
            </w:pPr>
            <w:r w:rsidRPr="006F2D7A">
              <w:t>Repeated word removed from Element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D7A" w:rsidP="006F2D7A">
            <w:pPr>
              <w:pStyle w:val="BodyText"/>
            </w:pPr>
            <w:r w:rsidRPr="006F2D7A">
              <w:t xml:space="preserve">Equivalent </w:t>
            </w:r>
          </w:p>
        </w:tc>
      </w:tr>
    </w:tbl>
    <w:p w:rsidR="00000000" w:rsidRPr="006F2D7A" w:rsidP="006F2D7A">
      <w:pPr>
        <w:pStyle w:val="BodyText"/>
      </w:pPr>
    </w:p>
    <w:p w:rsidR="00000000" w:rsidRPr="006F2D7A" w:rsidP="006F2D7A">
      <w:pPr>
        <w:pStyle w:val="AllowPageBreak"/>
      </w:pPr>
    </w:p>
    <w:p w:rsidR="00000000" w:rsidRPr="006F2D7A" w:rsidP="006F2D7A">
      <w:pPr>
        <w:pStyle w:val="Heading1"/>
      </w:pPr>
      <w:bookmarkStart w:id="8" w:name="O_1142256"/>
      <w:bookmarkEnd w:id="8"/>
      <w:r w:rsidRPr="006F2D7A">
        <w:t>Links</w:t>
      </w:r>
    </w:p>
    <w:p w:rsidR="00000000" w:rsidRPr="006F2D7A" w:rsidP="004E1B7D">
      <w:pPr>
        <w:pStyle w:val="BodyText"/>
      </w:pPr>
      <w:r w:rsidRPr="006F2D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710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2D7A" w:rsidP="006F2D7A"/>
    <w:sectPr w:rsidSect="006F2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7A" w:rsidRPr="004E1B7D" w:rsidP="004E1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7D" w:rsidP="006F2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B7D" w:rsidP="006F2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1B7D" w:rsidP="006F2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D7A" w:rsidRPr="004E1B7D" w:rsidP="004E1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7D" w:rsidRPr="002D2AF8" w:rsidP="006F2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AMPCOR204 Follow safe work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E1B7D" w:rsidP="006F2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D7A"/>
  </w:style>
  <w:style w:type="character" w:customStyle="1" w:styleId="Heading1Char">
    <w:name w:val="Heading 1 Char"/>
    <w:basedOn w:val="DefaultParagraphFont"/>
    <w:link w:val="Heading1"/>
    <w:rsid w:val="006F2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D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2D7A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6F2D7A"/>
    <w:rPr>
      <w:i/>
    </w:rPr>
  </w:style>
  <w:style w:type="paragraph" w:customStyle="1" w:styleId="SuperHeading">
    <w:name w:val="SuperHeading"/>
    <w:basedOn w:val="Normal"/>
    <w:rsid w:val="006F2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2D7A"/>
    <w:rPr>
      <w:b/>
    </w:rPr>
  </w:style>
  <w:style w:type="character" w:customStyle="1" w:styleId="Heading2Char">
    <w:name w:val="Heading 2 Char"/>
    <w:basedOn w:val="DefaultParagraphFont"/>
    <w:link w:val="Heading2"/>
    <w:rsid w:val="006F2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D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F2D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2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2D7A"/>
    <w:rPr>
      <w:b/>
      <w:spacing w:val="0"/>
    </w:rPr>
  </w:style>
  <w:style w:type="paragraph" w:customStyle="1" w:styleId="SuperTitle">
    <w:name w:val="SuperTitle"/>
    <w:basedOn w:val="Title"/>
    <w:rsid w:val="006F2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D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D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2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D7A"/>
  </w:style>
  <w:style w:type="paragraph" w:styleId="TableofFigures">
    <w:name w:val="table of figures"/>
    <w:basedOn w:val="Normal"/>
    <w:next w:val="Normal"/>
    <w:semiHidden/>
    <w:rsid w:val="006F2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D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2D7A"/>
    <w:rPr>
      <w:rFonts w:ascii="Wingdings" w:hAnsi="Wingdings"/>
    </w:rPr>
  </w:style>
  <w:style w:type="paragraph" w:customStyle="1" w:styleId="TableHeading">
    <w:name w:val="Table Heading"/>
    <w:basedOn w:val="HeadingBase"/>
    <w:rsid w:val="006F2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D7A"/>
    <w:rPr>
      <w:color w:val="0033CC"/>
      <w:u w:val="none"/>
    </w:rPr>
  </w:style>
  <w:style w:type="paragraph" w:customStyle="1" w:styleId="BodyTextRight">
    <w:name w:val="Body Text Right"/>
    <w:basedOn w:val="BodyText"/>
    <w:rsid w:val="006F2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D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D7A"/>
    <w:rPr>
      <w:sz w:val="32"/>
    </w:rPr>
  </w:style>
  <w:style w:type="paragraph" w:customStyle="1" w:styleId="HeadingProcedure">
    <w:name w:val="Heading Procedure"/>
    <w:basedOn w:val="HeadingBase"/>
    <w:next w:val="Normal"/>
    <w:rsid w:val="006F2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D7A"/>
    <w:pPr>
      <w:spacing w:before="60" w:after="60"/>
    </w:pPr>
  </w:style>
  <w:style w:type="paragraph" w:styleId="ListContinue">
    <w:name w:val="List Continue"/>
    <w:basedOn w:val="List"/>
    <w:rsid w:val="006F2D7A"/>
    <w:pPr>
      <w:ind w:firstLine="0"/>
    </w:pPr>
  </w:style>
  <w:style w:type="paragraph" w:customStyle="1" w:styleId="ListNote">
    <w:name w:val="List Note"/>
    <w:basedOn w:val="List"/>
    <w:rsid w:val="006F2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D7A"/>
    <w:rPr>
      <w:rFonts w:ascii="Courier New" w:hAnsi="Courier New"/>
    </w:rPr>
  </w:style>
  <w:style w:type="paragraph" w:customStyle="1" w:styleId="NoteBullet">
    <w:name w:val="Note Bullet"/>
    <w:basedOn w:val="Note"/>
    <w:rsid w:val="006F2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D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2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D7A"/>
    <w:rPr>
      <w:b/>
      <w:smallCaps/>
    </w:rPr>
  </w:style>
  <w:style w:type="paragraph" w:customStyle="1" w:styleId="TableListNumber">
    <w:name w:val="Table List Number"/>
    <w:basedOn w:val="ListNumber"/>
    <w:rsid w:val="006F2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D7A"/>
    <w:pPr>
      <w:numPr>
        <w:numId w:val="7"/>
      </w:numPr>
    </w:pPr>
  </w:style>
  <w:style w:type="paragraph" w:customStyle="1" w:styleId="ListAlpha2">
    <w:name w:val="List Alpha 2"/>
    <w:basedOn w:val="List2"/>
    <w:rsid w:val="006F2D7A"/>
    <w:pPr>
      <w:numPr>
        <w:numId w:val="6"/>
      </w:numPr>
    </w:pPr>
  </w:style>
  <w:style w:type="paragraph" w:styleId="List2">
    <w:name w:val="List 2"/>
    <w:basedOn w:val="BodyText"/>
    <w:rsid w:val="006F2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D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D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2D7A"/>
    <w:pPr>
      <w:numPr>
        <w:numId w:val="2"/>
      </w:numPr>
    </w:pPr>
  </w:style>
  <w:style w:type="paragraph" w:styleId="ListContinue2">
    <w:name w:val="List Continue 2"/>
    <w:basedOn w:val="List2"/>
    <w:rsid w:val="006F2D7A"/>
    <w:pPr>
      <w:ind w:firstLine="0"/>
    </w:pPr>
  </w:style>
  <w:style w:type="paragraph" w:styleId="ListContinue3">
    <w:name w:val="List Continue 3"/>
    <w:basedOn w:val="List3"/>
    <w:rsid w:val="006F2D7A"/>
    <w:pPr>
      <w:ind w:left="1021" w:firstLine="0"/>
    </w:pPr>
  </w:style>
  <w:style w:type="paragraph" w:styleId="ListContinue4">
    <w:name w:val="List Continue 4"/>
    <w:basedOn w:val="List4"/>
    <w:rsid w:val="006F2D7A"/>
    <w:pPr>
      <w:ind w:firstLine="0"/>
    </w:pPr>
  </w:style>
  <w:style w:type="paragraph" w:styleId="ListContinue5">
    <w:name w:val="List Continue 5"/>
    <w:basedOn w:val="List5"/>
    <w:rsid w:val="006F2D7A"/>
    <w:pPr>
      <w:ind w:firstLine="0"/>
    </w:pPr>
  </w:style>
  <w:style w:type="paragraph" w:styleId="ListNumber3">
    <w:name w:val="List Number 3"/>
    <w:basedOn w:val="List3"/>
    <w:rsid w:val="006F2D7A"/>
    <w:pPr>
      <w:numPr>
        <w:numId w:val="3"/>
      </w:numPr>
    </w:pPr>
  </w:style>
  <w:style w:type="paragraph" w:styleId="ListNumber4">
    <w:name w:val="List Number 4"/>
    <w:basedOn w:val="List4"/>
    <w:rsid w:val="006F2D7A"/>
    <w:pPr>
      <w:numPr>
        <w:numId w:val="4"/>
      </w:numPr>
    </w:pPr>
  </w:style>
  <w:style w:type="paragraph" w:styleId="ListNumber5">
    <w:name w:val="List Number 5"/>
    <w:basedOn w:val="List5"/>
    <w:rsid w:val="006F2D7A"/>
    <w:pPr>
      <w:numPr>
        <w:numId w:val="5"/>
      </w:numPr>
    </w:pPr>
  </w:style>
  <w:style w:type="paragraph" w:styleId="BlockText">
    <w:name w:val="Block Text"/>
    <w:basedOn w:val="Normal"/>
    <w:rsid w:val="006F2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D7A"/>
    <w:rPr>
      <w:sz w:val="16"/>
      <w:vertAlign w:val="superscript"/>
    </w:rPr>
  </w:style>
  <w:style w:type="character" w:customStyle="1" w:styleId="Symbols">
    <w:name w:val="Symbols"/>
    <w:basedOn w:val="DefaultParagraphFont"/>
    <w:rsid w:val="006F2D7A"/>
    <w:rPr>
      <w:rFonts w:ascii="Symbol" w:hAnsi="Symbol"/>
    </w:rPr>
  </w:style>
  <w:style w:type="character" w:customStyle="1" w:styleId="MenuOptions">
    <w:name w:val="Menu Options"/>
    <w:basedOn w:val="DefaultParagraphFont"/>
    <w:rsid w:val="006F2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D7A"/>
    <w:rPr>
      <w:b/>
    </w:rPr>
  </w:style>
  <w:style w:type="character" w:customStyle="1" w:styleId="Underlined">
    <w:name w:val="Underlined"/>
    <w:basedOn w:val="DefaultParagraphFont"/>
    <w:rsid w:val="006F2D7A"/>
    <w:rPr>
      <w:u w:val="single"/>
    </w:rPr>
  </w:style>
  <w:style w:type="paragraph" w:customStyle="1" w:styleId="TableBodyTextRight">
    <w:name w:val="Table Body Text Right"/>
    <w:basedOn w:val="TableBodyText"/>
    <w:rsid w:val="006F2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D7A"/>
    <w:rPr>
      <w:sz w:val="18"/>
    </w:rPr>
  </w:style>
  <w:style w:type="paragraph" w:customStyle="1" w:styleId="BodySmallRight">
    <w:name w:val="Body Small Right"/>
    <w:basedOn w:val="BodyTextRight"/>
    <w:rsid w:val="006F2D7A"/>
    <w:rPr>
      <w:sz w:val="18"/>
      <w:szCs w:val="18"/>
    </w:rPr>
  </w:style>
  <w:style w:type="paragraph" w:customStyle="1" w:styleId="MarginEdition">
    <w:name w:val="Margin Edition"/>
    <w:basedOn w:val="MarginNote"/>
    <w:rsid w:val="006F2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D7A"/>
    <w:rPr>
      <w:sz w:val="2"/>
      <w:szCs w:val="2"/>
    </w:rPr>
  </w:style>
  <w:style w:type="character" w:customStyle="1" w:styleId="Small">
    <w:name w:val="Small"/>
    <w:basedOn w:val="DefaultParagraphFont"/>
    <w:rsid w:val="006F2D7A"/>
    <w:rPr>
      <w:sz w:val="16"/>
    </w:rPr>
  </w:style>
  <w:style w:type="paragraph" w:customStyle="1" w:styleId="WideTable">
    <w:name w:val="Wide Table"/>
    <w:basedOn w:val="Normal"/>
    <w:rsid w:val="006F2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D7A"/>
  </w:style>
  <w:style w:type="paragraph" w:styleId="Quote">
    <w:name w:val="Quote"/>
    <w:basedOn w:val="Heading1"/>
    <w:link w:val="QuoteChar"/>
    <w:qFormat/>
    <w:rsid w:val="006F2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D7A"/>
    <w:pPr>
      <w:pageBreakBefore/>
    </w:pPr>
  </w:style>
  <w:style w:type="paragraph" w:customStyle="1" w:styleId="Border">
    <w:name w:val="Border"/>
    <w:basedOn w:val="Normal"/>
    <w:qFormat/>
    <w:rsid w:val="006F2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D7A"/>
    <w:rPr>
      <w:u w:val="single"/>
    </w:rPr>
  </w:style>
  <w:style w:type="character" w:customStyle="1" w:styleId="BoldandItalics">
    <w:name w:val="Bold and Italics"/>
    <w:qFormat/>
    <w:rsid w:val="006F2D7A"/>
    <w:rPr>
      <w:b/>
      <w:i/>
      <w:u w:val="none"/>
    </w:rPr>
  </w:style>
  <w:style w:type="paragraph" w:styleId="BalloonText">
    <w:name w:val="Balloon Text"/>
    <w:basedOn w:val="Normal"/>
    <w:link w:val="BalloonTextChar"/>
    <w:rsid w:val="006F2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D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1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3209</Characters>
  <Application>Microsoft Office Word</Application>
  <DocSecurity>0</DocSecurity>
  <Lines>128</Lines>
  <Paragraphs>71</Paragraphs>
  <ScaleCrop>false</ScaleCrop>
  <Company>Author-it Software Corporation Ltd.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AMPCOR204 Follow safe work policies and procedures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