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40CF" w:rsidP="00EF40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AMPA415 Manage biogas facilities</w:t>
      </w:r>
      <w:r>
        <w:fldChar w:fldCharType="end"/>
      </w:r>
    </w:p>
    <w:p w:rsidR="00EF40CF" w:rsidP="00EF40CF">
      <w:pPr>
        <w:pStyle w:val="Version"/>
        <w:sectPr w:rsidSect="00C857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572E" w:rsidP="00C8572E">
      <w:pPr>
        <w:pStyle w:val="SuperHeading"/>
      </w:pPr>
      <w:r w:rsidRPr="00C8572E">
        <w:t>AMPA415 Manage biogas facilities</w:t>
      </w:r>
    </w:p>
    <w:p w:rsidR="00000000" w:rsidRPr="00C8572E" w:rsidP="00C8572E">
      <w:pPr>
        <w:pStyle w:val="Heading1"/>
      </w:pPr>
      <w:bookmarkStart w:id="1" w:name="O_1043861"/>
      <w:bookmarkEnd w:id="1"/>
      <w:r w:rsidRPr="00C857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857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2E">
            <w:pPr>
              <w:pStyle w:val="BodyTextBold"/>
              <w:rPr>
                <w:lang w:val="en-NZ"/>
              </w:rPr>
            </w:pPr>
            <w:r w:rsidRPr="00C8572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2E">
            <w:pPr>
              <w:pStyle w:val="BodyTextBold"/>
              <w:rPr>
                <w:lang w:val="en-NZ"/>
              </w:rPr>
            </w:pPr>
            <w:r w:rsidRPr="00C8572E">
              <w:t>Comments</w:t>
            </w:r>
          </w:p>
        </w:tc>
      </w:tr>
      <w:tr w:rsidTr="00C857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2E">
            <w:pPr>
              <w:pStyle w:val="BodyText"/>
              <w:rPr>
                <w:lang w:val="en-NZ"/>
              </w:rPr>
            </w:pPr>
            <w:r w:rsidRPr="00C8572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72E" w:rsidP="00C8572E">
            <w:pPr>
              <w:pStyle w:val="BodyText"/>
            </w:pPr>
            <w:r w:rsidRPr="00C8572E">
              <w:t>This version released with AMP Meat Processing Training Package Version 4.0.</w:t>
            </w:r>
          </w:p>
        </w:tc>
      </w:tr>
    </w:tbl>
    <w:p w:rsidR="00000000" w:rsidRPr="00C8572E" w:rsidP="00C8572E">
      <w:pPr>
        <w:pStyle w:val="BodyText"/>
      </w:pPr>
    </w:p>
    <w:p w:rsidR="00000000" w:rsidRPr="00C8572E" w:rsidP="00C8572E">
      <w:pPr>
        <w:pStyle w:val="AllowPageBreak"/>
      </w:pPr>
    </w:p>
    <w:p w:rsidR="00000000" w:rsidRPr="00C8572E" w:rsidP="00C8572E">
      <w:pPr>
        <w:pStyle w:val="Heading1"/>
      </w:pPr>
      <w:bookmarkStart w:id="2" w:name="O_1043862"/>
      <w:bookmarkEnd w:id="2"/>
      <w:r w:rsidRPr="00C8572E">
        <w:t>Application</w:t>
      </w:r>
    </w:p>
    <w:p w:rsidR="00000000" w:rsidRPr="00C8572E" w:rsidP="00EF40CF">
      <w:pPr>
        <w:pStyle w:val="BodyText"/>
      </w:pPr>
      <w:r w:rsidRPr="00C8572E">
        <w:t xml:space="preserve">This unit of competency describes the skills and knowledge required to evaluate and optimise the </w:t>
      </w:r>
      <w:r w:rsidRPr="00C8572E">
        <w:t>performance of a biogas facility.</w:t>
      </w:r>
    </w:p>
    <w:p w:rsidR="00000000" w:rsidRPr="00C8572E" w:rsidP="00EF40CF">
      <w:pPr>
        <w:pStyle w:val="BodyText"/>
      </w:pPr>
      <w:r w:rsidRPr="00C8572E">
        <w:t>The unit applies to individuals who are responsible for managing the process of capturing and utilising biogas as an energy source.</w:t>
      </w:r>
    </w:p>
    <w:p w:rsidR="00000000" w:rsidRPr="00C8572E" w:rsidP="00EF40CF">
      <w:pPr>
        <w:pStyle w:val="BodyText"/>
      </w:pPr>
      <w:r w:rsidRPr="00C8572E">
        <w:t>Those undertaking this unit would work autonomously and have responsibility for the perfor</w:t>
      </w:r>
      <w:r w:rsidRPr="00C8572E">
        <w:t>mance and ongoing efficient operation of a biogas facility.</w:t>
      </w:r>
    </w:p>
    <w:p w:rsidR="00000000" w:rsidRPr="00C8572E" w:rsidP="00EF40CF">
      <w:pPr>
        <w:pStyle w:val="BodyText"/>
      </w:pPr>
      <w:r w:rsidRPr="00C8572E">
        <w:t>All work must be carried out to comply with workplace procedures, according to state/territory health and safety regulations, legislation and standards that apply to the workplace.</w:t>
      </w:r>
    </w:p>
    <w:p w:rsidR="00000000" w:rsidRPr="00C8572E" w:rsidP="00EF40CF">
      <w:pPr>
        <w:pStyle w:val="BodyText"/>
      </w:pPr>
      <w:r w:rsidRPr="00C8572E">
        <w:t>No licensing, l</w:t>
      </w:r>
      <w:r w:rsidRPr="00C8572E">
        <w:t xml:space="preserve">egislative or certification requirements apply to this unit at the time of publication. </w:t>
      </w:r>
    </w:p>
    <w:p w:rsidR="00000000" w:rsidRPr="00C8572E" w:rsidP="00C8572E">
      <w:pPr>
        <w:pStyle w:val="Heading1"/>
      </w:pPr>
      <w:bookmarkStart w:id="3" w:name="O_1043863"/>
      <w:bookmarkEnd w:id="3"/>
      <w:r w:rsidRPr="00C8572E">
        <w:t>Pre-requisite Unit</w:t>
      </w:r>
    </w:p>
    <w:p w:rsidR="00000000" w:rsidRPr="00C8572E" w:rsidP="00EF40CF">
      <w:pPr>
        <w:pStyle w:val="BodyText"/>
      </w:pPr>
      <w:r w:rsidRPr="00C8572E">
        <w:t xml:space="preserve">Nil </w:t>
      </w:r>
    </w:p>
    <w:p w:rsidR="00000000" w:rsidRPr="00C8572E" w:rsidP="00C8572E">
      <w:pPr>
        <w:pStyle w:val="Heading1"/>
      </w:pPr>
      <w:bookmarkStart w:id="4" w:name="O_1043865"/>
      <w:bookmarkEnd w:id="4"/>
      <w:r w:rsidRPr="00C8572E">
        <w:t>Unit Sector</w:t>
      </w:r>
    </w:p>
    <w:p w:rsidR="00000000" w:rsidRPr="00C8572E" w:rsidP="00EF40CF">
      <w:pPr>
        <w:pStyle w:val="BodyText"/>
      </w:pPr>
      <w:r w:rsidRPr="00C8572E">
        <w:t>Abattoirs</w:t>
      </w:r>
    </w:p>
    <w:p w:rsidR="00000000" w:rsidRPr="00C8572E" w:rsidP="00C8572E">
      <w:pPr>
        <w:pStyle w:val="Heading1"/>
      </w:pPr>
      <w:bookmarkStart w:id="5" w:name="O_1043866"/>
      <w:bookmarkEnd w:id="5"/>
      <w:r w:rsidRPr="00C8572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40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2E">
            <w:pPr>
              <w:pStyle w:val="BodyTextBold"/>
              <w:rPr>
                <w:lang w:val="en-NZ"/>
              </w:rPr>
            </w:pPr>
            <w:r w:rsidRPr="00C8572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2E">
            <w:pPr>
              <w:pStyle w:val="BodyTextBold"/>
              <w:rPr>
                <w:lang w:val="en-NZ"/>
              </w:rPr>
            </w:pPr>
            <w:r w:rsidRPr="00C8572E">
              <w:t>Performance Criteria</w:t>
            </w:r>
          </w:p>
        </w:tc>
      </w:tr>
      <w:tr w:rsidTr="00EF40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72E" w:rsidP="00C8572E">
            <w:pPr>
              <w:pStyle w:val="BodyText"/>
            </w:pPr>
            <w:r w:rsidRPr="00C8572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2E">
            <w:pPr>
              <w:pStyle w:val="BodyText"/>
              <w:rPr>
                <w:lang w:val="en-NZ"/>
              </w:rPr>
            </w:pPr>
            <w:r w:rsidRPr="00C857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40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2E">
            <w:pPr>
              <w:pStyle w:val="BodyText"/>
              <w:rPr>
                <w:lang w:val="en-NZ"/>
              </w:rPr>
            </w:pPr>
            <w:r w:rsidRPr="00C8572E">
              <w:t>1. Identify workplace biogas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72E" w:rsidP="00C8572E">
            <w:pPr>
              <w:pStyle w:val="BodyText"/>
            </w:pPr>
            <w:r w:rsidRPr="00C8572E">
              <w:t>1.1 Identify biogas requirements for all relevant areas of the workplace</w:t>
            </w:r>
          </w:p>
          <w:p w:rsidR="00000000" w:rsidRPr="00C8572E" w:rsidP="00C8572E">
            <w:pPr>
              <w:pStyle w:val="BodyText"/>
            </w:pPr>
            <w:r w:rsidRPr="00C8572E">
              <w:t>1</w:t>
            </w:r>
            <w:r w:rsidRPr="00C8572E">
              <w:t>.2 Determine workplace</w:t>
            </w:r>
            <w:r>
              <w:t>’</w:t>
            </w:r>
            <w:r w:rsidRPr="00C8572E">
              <w:t>s ongoing biogas production capability and usage using agreed benchmarks</w:t>
            </w:r>
          </w:p>
          <w:p w:rsidR="00000000" w:rsidP="00C8572E">
            <w:pPr>
              <w:pStyle w:val="BodyText"/>
              <w:rPr>
                <w:lang w:val="en-NZ"/>
              </w:rPr>
            </w:pPr>
            <w:r w:rsidRPr="00C8572E">
              <w:t>1.3 Analyse performance data and use to identify trends in workplace requirements</w:t>
            </w:r>
          </w:p>
        </w:tc>
      </w:tr>
      <w:tr w:rsidTr="00EF40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2E">
            <w:pPr>
              <w:pStyle w:val="BodyText"/>
              <w:rPr>
                <w:lang w:val="en-NZ"/>
              </w:rPr>
            </w:pPr>
            <w:r w:rsidRPr="00C8572E">
              <w:t>2. Monitor and control performance of biogas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72E" w:rsidP="00C8572E">
            <w:pPr>
              <w:pStyle w:val="BodyText"/>
            </w:pPr>
            <w:r w:rsidRPr="00C8572E">
              <w:t>2.1 Establish performance standards and indicators using agreed benchmarks and best practice methods</w:t>
            </w:r>
          </w:p>
          <w:p w:rsidR="00000000" w:rsidRPr="00C8572E" w:rsidP="00C8572E">
            <w:pPr>
              <w:pStyle w:val="BodyText"/>
            </w:pPr>
            <w:r w:rsidRPr="00C8572E">
              <w:t>2.2 Monitor impact of upstream conditions on biogas system</w:t>
            </w:r>
          </w:p>
          <w:p w:rsidR="00000000" w:rsidP="00C8572E">
            <w:pPr>
              <w:pStyle w:val="BodyText"/>
              <w:rPr>
                <w:lang w:val="en-NZ"/>
              </w:rPr>
            </w:pPr>
            <w:r w:rsidRPr="00C8572E">
              <w:t>2.3 Develop and maintain record keeping systems</w:t>
            </w:r>
          </w:p>
        </w:tc>
      </w:tr>
      <w:tr w:rsidTr="00EF40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2E">
            <w:pPr>
              <w:pStyle w:val="BodyText"/>
              <w:rPr>
                <w:lang w:val="en-NZ"/>
              </w:rPr>
            </w:pPr>
            <w:r w:rsidRPr="00C8572E">
              <w:t>3. Comply with regulatory requirements for biog</w:t>
            </w:r>
            <w:r w:rsidRPr="00C8572E">
              <w:t>as facilities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72E" w:rsidP="00C8572E">
            <w:pPr>
              <w:pStyle w:val="BodyText"/>
            </w:pPr>
            <w:r w:rsidRPr="00C8572E">
              <w:t xml:space="preserve">3.1 Comply with the appropriate state regulations governing gas fuel and odour emissions </w:t>
            </w:r>
          </w:p>
          <w:p w:rsidR="00000000" w:rsidRPr="00C8572E" w:rsidP="00C8572E">
            <w:pPr>
              <w:pStyle w:val="BodyText"/>
            </w:pPr>
            <w:r w:rsidRPr="00C8572E">
              <w:t>3.2 Meet the requirements of the relevant licensing agreements for biogas facilities</w:t>
            </w:r>
          </w:p>
          <w:p w:rsidR="00000000" w:rsidP="00C8572E">
            <w:pPr>
              <w:pStyle w:val="BodyText"/>
              <w:rPr>
                <w:lang w:val="en-NZ"/>
              </w:rPr>
            </w:pPr>
            <w:r w:rsidRPr="00C8572E">
              <w:t>3.3 Follow work health and safety (WHS) regulations for hazards con</w:t>
            </w:r>
            <w:r w:rsidRPr="00C8572E">
              <w:t>cerning biogas production, storage, transport and use</w:t>
            </w:r>
          </w:p>
        </w:tc>
      </w:tr>
      <w:tr w:rsidTr="00EF40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2E">
            <w:pPr>
              <w:pStyle w:val="BodyText"/>
              <w:rPr>
                <w:lang w:val="en-NZ"/>
              </w:rPr>
            </w:pPr>
            <w:r w:rsidRPr="00C8572E">
              <w:t>4. Comply with the requirements for safe design and operation of biogas facilities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72E" w:rsidP="00C8572E">
            <w:pPr>
              <w:pStyle w:val="BodyText"/>
            </w:pPr>
            <w:r w:rsidRPr="00C8572E">
              <w:t>4.1 Comply with the appropriate standards governing the design and construction of biogas systems</w:t>
            </w:r>
          </w:p>
          <w:p w:rsidR="00000000" w:rsidRPr="00C8572E" w:rsidP="00C8572E">
            <w:pPr>
              <w:pStyle w:val="BodyText"/>
            </w:pPr>
            <w:r w:rsidRPr="00C8572E">
              <w:t>4.2 Develop and main</w:t>
            </w:r>
            <w:r w:rsidRPr="00C8572E">
              <w:t>tain a site-specific Safety Management Plan covering the risks and management associated with a biogas system</w:t>
            </w:r>
          </w:p>
        </w:tc>
      </w:tr>
    </w:tbl>
    <w:p w:rsidR="00000000" w:rsidRPr="00C8572E" w:rsidP="00C8572E">
      <w:pPr>
        <w:pStyle w:val="BodyText"/>
      </w:pPr>
    </w:p>
    <w:p w:rsidR="00000000" w:rsidRPr="00C8572E" w:rsidP="00C8572E">
      <w:pPr>
        <w:pStyle w:val="AllowPageBreak"/>
      </w:pPr>
    </w:p>
    <w:p w:rsidR="00000000" w:rsidRPr="00C8572E" w:rsidP="00C8572E">
      <w:pPr>
        <w:pStyle w:val="Heading1"/>
      </w:pPr>
      <w:bookmarkStart w:id="6" w:name="O_1043867"/>
      <w:bookmarkEnd w:id="6"/>
      <w:r w:rsidRPr="00C8572E">
        <w:t>Foundation Skills</w:t>
      </w:r>
    </w:p>
    <w:p w:rsidR="00000000" w:rsidRPr="00EF40CF" w:rsidP="00EF40CF">
      <w:pPr>
        <w:pStyle w:val="BodyText"/>
        <w:rPr>
          <w:i/>
        </w:rPr>
      </w:pPr>
      <w:r w:rsidRPr="00EF40CF">
        <w:rPr>
          <w:rStyle w:val="Emphasis"/>
        </w:rPr>
        <w:t>This section describes those language, literacy, numeracy and employment skills that are essential for perf</w:t>
      </w:r>
      <w:r w:rsidRPr="00EF40CF">
        <w:rPr>
          <w:rStyle w:val="Emphasis"/>
        </w:rPr>
        <w:t>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57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2E">
            <w:pPr>
              <w:pStyle w:val="BodyTextBold"/>
              <w:rPr>
                <w:lang w:val="en-NZ"/>
              </w:rPr>
            </w:pPr>
            <w:r w:rsidRPr="00C8572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2E">
            <w:pPr>
              <w:pStyle w:val="BodyTextBold"/>
              <w:rPr>
                <w:lang w:val="en-NZ"/>
              </w:rPr>
            </w:pPr>
            <w:r w:rsidRPr="00C8572E">
              <w:t>Description</w:t>
            </w:r>
          </w:p>
        </w:tc>
      </w:tr>
      <w:tr w:rsidTr="00C857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2E">
            <w:pPr>
              <w:pStyle w:val="BodyText"/>
              <w:rPr>
                <w:lang w:val="en-NZ"/>
              </w:rPr>
            </w:pPr>
            <w:r w:rsidRPr="00C8572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2E">
            <w:pPr>
              <w:pStyle w:val="ListBullet"/>
              <w:rPr>
                <w:lang w:val="en-NZ"/>
              </w:rPr>
            </w:pPr>
            <w:r w:rsidRPr="00C8572E">
              <w:t>Comprehends standards and regulations</w:t>
            </w:r>
          </w:p>
        </w:tc>
      </w:tr>
      <w:tr w:rsidTr="00C857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2E">
            <w:pPr>
              <w:pStyle w:val="BodyText"/>
              <w:rPr>
                <w:lang w:val="en-NZ"/>
              </w:rPr>
            </w:pPr>
            <w:r w:rsidRPr="00C8572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2E">
            <w:pPr>
              <w:pStyle w:val="ListBullet"/>
              <w:rPr>
                <w:lang w:val="en-NZ"/>
              </w:rPr>
            </w:pPr>
            <w:r w:rsidRPr="00C8572E">
              <w:t>Prepares applications to meet regulatory requirements</w:t>
            </w:r>
          </w:p>
        </w:tc>
      </w:tr>
      <w:tr w:rsidTr="00C857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2E">
            <w:pPr>
              <w:pStyle w:val="BodyText"/>
              <w:rPr>
                <w:lang w:val="en-NZ"/>
              </w:rPr>
            </w:pPr>
            <w:r w:rsidRPr="00C8572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72E" w:rsidP="00C8572E">
            <w:pPr>
              <w:pStyle w:val="ListBullet"/>
            </w:pPr>
            <w:r w:rsidRPr="00C8572E">
              <w:t>Reads and interprets data related to biogas output and performance</w:t>
            </w:r>
          </w:p>
        </w:tc>
      </w:tr>
    </w:tbl>
    <w:p w:rsidR="00000000" w:rsidRPr="00C8572E" w:rsidP="00C8572E">
      <w:pPr>
        <w:pStyle w:val="BodyText"/>
      </w:pPr>
    </w:p>
    <w:p w:rsidR="00000000" w:rsidRPr="00C8572E" w:rsidP="00C8572E">
      <w:pPr>
        <w:pStyle w:val="AllowPageBreak"/>
      </w:pPr>
    </w:p>
    <w:p w:rsidR="00000000" w:rsidRPr="00C8572E" w:rsidP="00C8572E">
      <w:pPr>
        <w:pStyle w:val="Heading1"/>
      </w:pPr>
      <w:bookmarkStart w:id="7" w:name="O_1043869"/>
      <w:bookmarkEnd w:id="7"/>
      <w:r w:rsidRPr="00C8572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C857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2E">
            <w:pPr>
              <w:pStyle w:val="BodyTextBold"/>
              <w:rPr>
                <w:lang w:val="en-NZ"/>
              </w:rPr>
            </w:pPr>
            <w:r w:rsidRPr="00C8572E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2E">
            <w:pPr>
              <w:pStyle w:val="BodyTextBold"/>
              <w:rPr>
                <w:lang w:val="en-NZ"/>
              </w:rPr>
            </w:pPr>
            <w:r w:rsidRPr="00C8572E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2E">
            <w:pPr>
              <w:pStyle w:val="BodyTextBold"/>
              <w:rPr>
                <w:lang w:val="en-NZ"/>
              </w:rPr>
            </w:pPr>
            <w:r w:rsidRPr="00C8572E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2E">
            <w:pPr>
              <w:pStyle w:val="BodyTextBold"/>
              <w:rPr>
                <w:lang w:val="en-NZ"/>
              </w:rPr>
            </w:pPr>
            <w:r w:rsidRPr="00C8572E">
              <w:t>Equivalence status</w:t>
            </w:r>
          </w:p>
        </w:tc>
      </w:tr>
      <w:tr w:rsidTr="00C857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2E">
            <w:pPr>
              <w:pStyle w:val="BodyText"/>
              <w:rPr>
                <w:lang w:val="en-NZ"/>
              </w:rPr>
            </w:pPr>
            <w:r w:rsidRPr="00C8572E">
              <w:t>AMPA415 Manage biogas facilities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2E">
            <w:pPr>
              <w:pStyle w:val="BodyText"/>
              <w:rPr>
                <w:lang w:val="en-NZ"/>
              </w:rPr>
            </w:pPr>
            <w:r w:rsidRPr="00C8572E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2E">
            <w:pPr>
              <w:pStyle w:val="BodyText"/>
              <w:rPr>
                <w:lang w:val="en-NZ"/>
              </w:rPr>
            </w:pPr>
            <w:r w:rsidRPr="00C8572E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72E" w:rsidP="00C8572E">
            <w:pPr>
              <w:pStyle w:val="BodyText"/>
            </w:pPr>
            <w:r w:rsidRPr="00C8572E">
              <w:t>No equivalent unit</w:t>
            </w:r>
          </w:p>
        </w:tc>
      </w:tr>
    </w:tbl>
    <w:p w:rsidR="00000000" w:rsidRPr="00C8572E" w:rsidP="00C8572E">
      <w:pPr>
        <w:pStyle w:val="BodyText"/>
      </w:pPr>
    </w:p>
    <w:p w:rsidR="00000000" w:rsidRPr="00C8572E" w:rsidP="00C8572E">
      <w:pPr>
        <w:pStyle w:val="AllowPageBreak"/>
      </w:pPr>
    </w:p>
    <w:p w:rsidR="00000000" w:rsidRPr="00C8572E" w:rsidP="00C8572E">
      <w:pPr>
        <w:pStyle w:val="Heading1"/>
      </w:pPr>
      <w:bookmarkStart w:id="8" w:name="O_1043876"/>
      <w:bookmarkEnd w:id="8"/>
      <w:r w:rsidRPr="00C8572E">
        <w:t>Links</w:t>
      </w:r>
    </w:p>
    <w:p w:rsidR="00000000" w:rsidRPr="00C8572E" w:rsidP="00EF40CF">
      <w:pPr>
        <w:pStyle w:val="BodyText"/>
      </w:pPr>
      <w:r w:rsidRPr="00C8572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E51B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8572E" w:rsidP="00C8572E"/>
    <w:sectPr w:rsidSect="00C857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2E" w:rsidRPr="00EF40CF" w:rsidP="00EF40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0CF" w:rsidP="00C857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40CF" w:rsidP="00C857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F40CF" w:rsidP="00C857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0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572E" w:rsidRPr="00EF40CF" w:rsidP="00EF40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0CF" w:rsidRPr="002D2AF8" w:rsidP="00C857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AMPA415 Manage biogas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F40CF" w:rsidP="00C857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EEF0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48CF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7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57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57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57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57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57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57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57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57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57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57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572E"/>
  </w:style>
  <w:style w:type="character" w:customStyle="1" w:styleId="Heading1Char">
    <w:name w:val="Heading 1 Char"/>
    <w:basedOn w:val="DefaultParagraphFont"/>
    <w:link w:val="Heading1"/>
    <w:rsid w:val="00C857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57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57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572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8572E"/>
    <w:rPr>
      <w:i/>
    </w:rPr>
  </w:style>
  <w:style w:type="paragraph" w:customStyle="1" w:styleId="SuperHeading">
    <w:name w:val="SuperHeading"/>
    <w:basedOn w:val="Normal"/>
    <w:rsid w:val="00C857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57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8572E"/>
    <w:rPr>
      <w:b/>
    </w:rPr>
  </w:style>
  <w:style w:type="character" w:customStyle="1" w:styleId="Heading2Char">
    <w:name w:val="Heading 2 Char"/>
    <w:basedOn w:val="DefaultParagraphFont"/>
    <w:link w:val="Heading2"/>
    <w:rsid w:val="00C857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57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57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57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57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57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57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57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57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57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57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57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57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57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57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57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57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57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57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57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572E"/>
    <w:rPr>
      <w:b/>
      <w:spacing w:val="0"/>
    </w:rPr>
  </w:style>
  <w:style w:type="paragraph" w:customStyle="1" w:styleId="SuperTitle">
    <w:name w:val="SuperTitle"/>
    <w:basedOn w:val="Title"/>
    <w:rsid w:val="00C857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57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57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57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57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57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57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57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57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57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57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57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57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57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57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57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572E"/>
  </w:style>
  <w:style w:type="paragraph" w:styleId="TableofFigures">
    <w:name w:val="table of figures"/>
    <w:basedOn w:val="Normal"/>
    <w:next w:val="Normal"/>
    <w:semiHidden/>
    <w:rsid w:val="00C857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57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572E"/>
    <w:rPr>
      <w:rFonts w:ascii="Wingdings" w:hAnsi="Wingdings"/>
    </w:rPr>
  </w:style>
  <w:style w:type="paragraph" w:customStyle="1" w:styleId="TableHeading">
    <w:name w:val="Table Heading"/>
    <w:basedOn w:val="HeadingBase"/>
    <w:rsid w:val="00C857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572E"/>
    <w:rPr>
      <w:color w:val="0033CC"/>
      <w:u w:val="none"/>
    </w:rPr>
  </w:style>
  <w:style w:type="paragraph" w:customStyle="1" w:styleId="BodyTextRight">
    <w:name w:val="Body Text Right"/>
    <w:basedOn w:val="BodyText"/>
    <w:rsid w:val="00C857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57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57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57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57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57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572E"/>
    <w:rPr>
      <w:sz w:val="32"/>
    </w:rPr>
  </w:style>
  <w:style w:type="paragraph" w:customStyle="1" w:styleId="HeadingProcedure">
    <w:name w:val="Heading Procedure"/>
    <w:basedOn w:val="HeadingBase"/>
    <w:next w:val="Normal"/>
    <w:rsid w:val="00C857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572E"/>
    <w:pPr>
      <w:spacing w:before="60" w:after="60"/>
    </w:pPr>
  </w:style>
  <w:style w:type="paragraph" w:styleId="ListContinue">
    <w:name w:val="List Continue"/>
    <w:basedOn w:val="List"/>
    <w:rsid w:val="00C8572E"/>
    <w:pPr>
      <w:ind w:firstLine="0"/>
    </w:pPr>
  </w:style>
  <w:style w:type="paragraph" w:customStyle="1" w:styleId="ListNote">
    <w:name w:val="List Note"/>
    <w:basedOn w:val="List"/>
    <w:rsid w:val="00C857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57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57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572E"/>
    <w:rPr>
      <w:rFonts w:ascii="Courier New" w:hAnsi="Courier New"/>
    </w:rPr>
  </w:style>
  <w:style w:type="paragraph" w:customStyle="1" w:styleId="NoteBullet">
    <w:name w:val="Note Bullet"/>
    <w:basedOn w:val="Note"/>
    <w:rsid w:val="00C857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57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57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57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57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57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57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572E"/>
    <w:rPr>
      <w:b/>
      <w:smallCaps/>
    </w:rPr>
  </w:style>
  <w:style w:type="paragraph" w:customStyle="1" w:styleId="TableListNumber">
    <w:name w:val="Table List Number"/>
    <w:basedOn w:val="ListNumber"/>
    <w:rsid w:val="00C857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57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572E"/>
    <w:pPr>
      <w:numPr>
        <w:numId w:val="8"/>
      </w:numPr>
    </w:pPr>
  </w:style>
  <w:style w:type="paragraph" w:customStyle="1" w:styleId="ListAlpha2">
    <w:name w:val="List Alpha 2"/>
    <w:basedOn w:val="List2"/>
    <w:rsid w:val="00C8572E"/>
    <w:pPr>
      <w:numPr>
        <w:numId w:val="7"/>
      </w:numPr>
    </w:pPr>
  </w:style>
  <w:style w:type="paragraph" w:styleId="List2">
    <w:name w:val="List 2"/>
    <w:basedOn w:val="BodyText"/>
    <w:rsid w:val="00C857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57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57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57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57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57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572E"/>
    <w:pPr>
      <w:numPr>
        <w:numId w:val="3"/>
      </w:numPr>
    </w:pPr>
  </w:style>
  <w:style w:type="paragraph" w:styleId="ListContinue2">
    <w:name w:val="List Continue 2"/>
    <w:basedOn w:val="List2"/>
    <w:rsid w:val="00C8572E"/>
    <w:pPr>
      <w:ind w:firstLine="0"/>
    </w:pPr>
  </w:style>
  <w:style w:type="paragraph" w:styleId="ListContinue3">
    <w:name w:val="List Continue 3"/>
    <w:basedOn w:val="List3"/>
    <w:rsid w:val="00C8572E"/>
    <w:pPr>
      <w:ind w:left="1021" w:firstLine="0"/>
    </w:pPr>
  </w:style>
  <w:style w:type="paragraph" w:styleId="ListContinue4">
    <w:name w:val="List Continue 4"/>
    <w:basedOn w:val="List4"/>
    <w:rsid w:val="00C8572E"/>
    <w:pPr>
      <w:ind w:firstLine="0"/>
    </w:pPr>
  </w:style>
  <w:style w:type="paragraph" w:styleId="ListContinue5">
    <w:name w:val="List Continue 5"/>
    <w:basedOn w:val="List5"/>
    <w:rsid w:val="00C8572E"/>
    <w:pPr>
      <w:ind w:firstLine="0"/>
    </w:pPr>
  </w:style>
  <w:style w:type="paragraph" w:styleId="ListNumber3">
    <w:name w:val="List Number 3"/>
    <w:basedOn w:val="List3"/>
    <w:rsid w:val="00C8572E"/>
    <w:pPr>
      <w:numPr>
        <w:numId w:val="4"/>
      </w:numPr>
    </w:pPr>
  </w:style>
  <w:style w:type="paragraph" w:styleId="ListNumber4">
    <w:name w:val="List Number 4"/>
    <w:basedOn w:val="List4"/>
    <w:rsid w:val="00C8572E"/>
    <w:pPr>
      <w:numPr>
        <w:numId w:val="5"/>
      </w:numPr>
    </w:pPr>
  </w:style>
  <w:style w:type="paragraph" w:styleId="ListNumber5">
    <w:name w:val="List Number 5"/>
    <w:basedOn w:val="List5"/>
    <w:rsid w:val="00C8572E"/>
    <w:pPr>
      <w:numPr>
        <w:numId w:val="6"/>
      </w:numPr>
    </w:pPr>
  </w:style>
  <w:style w:type="paragraph" w:styleId="BlockText">
    <w:name w:val="Block Text"/>
    <w:basedOn w:val="Normal"/>
    <w:rsid w:val="00C857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57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572E"/>
    <w:rPr>
      <w:sz w:val="16"/>
      <w:vertAlign w:val="superscript"/>
    </w:rPr>
  </w:style>
  <w:style w:type="character" w:customStyle="1" w:styleId="Symbols">
    <w:name w:val="Symbols"/>
    <w:basedOn w:val="DefaultParagraphFont"/>
    <w:rsid w:val="00C8572E"/>
    <w:rPr>
      <w:rFonts w:ascii="Symbol" w:hAnsi="Symbol"/>
    </w:rPr>
  </w:style>
  <w:style w:type="character" w:customStyle="1" w:styleId="MenuOptions">
    <w:name w:val="Menu Options"/>
    <w:basedOn w:val="DefaultParagraphFont"/>
    <w:rsid w:val="00C857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572E"/>
    <w:rPr>
      <w:b/>
    </w:rPr>
  </w:style>
  <w:style w:type="character" w:customStyle="1" w:styleId="Underlined">
    <w:name w:val="Underlined"/>
    <w:basedOn w:val="DefaultParagraphFont"/>
    <w:rsid w:val="00C8572E"/>
    <w:rPr>
      <w:u w:val="single"/>
    </w:rPr>
  </w:style>
  <w:style w:type="paragraph" w:customStyle="1" w:styleId="TableBodyTextRight">
    <w:name w:val="Table Body Text Right"/>
    <w:basedOn w:val="TableBodyText"/>
    <w:rsid w:val="00C857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572E"/>
    <w:rPr>
      <w:sz w:val="18"/>
    </w:rPr>
  </w:style>
  <w:style w:type="paragraph" w:customStyle="1" w:styleId="BodySmallRight">
    <w:name w:val="Body Small Right"/>
    <w:basedOn w:val="BodyTextRight"/>
    <w:rsid w:val="00C8572E"/>
    <w:rPr>
      <w:sz w:val="18"/>
      <w:szCs w:val="18"/>
    </w:rPr>
  </w:style>
  <w:style w:type="paragraph" w:customStyle="1" w:styleId="MarginEdition">
    <w:name w:val="Margin Edition"/>
    <w:basedOn w:val="MarginNote"/>
    <w:rsid w:val="00C857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572E"/>
    <w:rPr>
      <w:sz w:val="2"/>
      <w:szCs w:val="2"/>
    </w:rPr>
  </w:style>
  <w:style w:type="character" w:customStyle="1" w:styleId="Small">
    <w:name w:val="Small"/>
    <w:basedOn w:val="DefaultParagraphFont"/>
    <w:rsid w:val="00C8572E"/>
    <w:rPr>
      <w:sz w:val="16"/>
    </w:rPr>
  </w:style>
  <w:style w:type="paragraph" w:customStyle="1" w:styleId="WideTable">
    <w:name w:val="Wide Table"/>
    <w:basedOn w:val="Normal"/>
    <w:rsid w:val="00C857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572E"/>
  </w:style>
  <w:style w:type="paragraph" w:styleId="Quote">
    <w:name w:val="Quote"/>
    <w:basedOn w:val="Heading1"/>
    <w:link w:val="QuoteChar"/>
    <w:qFormat/>
    <w:rsid w:val="00C857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57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572E"/>
    <w:pPr>
      <w:pageBreakBefore/>
    </w:pPr>
  </w:style>
  <w:style w:type="paragraph" w:customStyle="1" w:styleId="Border">
    <w:name w:val="Border"/>
    <w:basedOn w:val="Normal"/>
    <w:qFormat/>
    <w:rsid w:val="00C857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57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7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7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57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57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57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57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57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572E"/>
    <w:rPr>
      <w:u w:val="single"/>
    </w:rPr>
  </w:style>
  <w:style w:type="character" w:customStyle="1" w:styleId="BoldandItalics">
    <w:name w:val="Bold and Italics"/>
    <w:qFormat/>
    <w:rsid w:val="00C8572E"/>
    <w:rPr>
      <w:b/>
      <w:i/>
      <w:u w:val="none"/>
    </w:rPr>
  </w:style>
  <w:style w:type="paragraph" w:styleId="BalloonText">
    <w:name w:val="Balloon Text"/>
    <w:basedOn w:val="Normal"/>
    <w:link w:val="BalloonTextChar"/>
    <w:rsid w:val="00C857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57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57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57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57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57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572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F40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2895</Characters>
  <Application>Microsoft Office Word</Application>
  <DocSecurity>0</DocSecurity>
  <Lines>111</Lines>
  <Paragraphs>71</Paragraphs>
  <ScaleCrop>false</ScaleCrop>
  <Company>Author-it Software Corporation Ltd.</Company>
  <LinksUpToDate>false</LinksUpToDate>
  <CharactersWithSpaces>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AMPA415 Manage biogas facilities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2022-02-25T01:26:00Z</dcterms:created>
  <dcterms:modified xsi:type="dcterms:W3CDTF">2022-02-25T01:26:00Z</dcterms:modified>
</cp:coreProperties>
</file>