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76D" w:rsidP="00715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AMPA3139 Prepare market reports — cattle</w:t>
      </w:r>
      <w:r>
        <w:fldChar w:fldCharType="end"/>
      </w:r>
    </w:p>
    <w:p w:rsidR="0071576D" w:rsidP="0071576D">
      <w:pPr>
        <w:pStyle w:val="Version"/>
        <w:sectPr w:rsidSect="00CC2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9E1" w:rsidP="00CC29E1">
      <w:pPr>
        <w:pStyle w:val="SuperHeading"/>
      </w:pPr>
      <w:r w:rsidRPr="00CC29E1">
        <w:t>Assessment Requirements for AMPA3139 Prepare market reports —</w:t>
      </w:r>
      <w:r w:rsidRPr="00CC29E1">
        <w:t xml:space="preserve"> cattle</w:t>
      </w:r>
    </w:p>
    <w:p w:rsidR="00000000" w:rsidRPr="00CC29E1" w:rsidP="00CC29E1">
      <w:pPr>
        <w:pStyle w:val="Heading1"/>
      </w:pPr>
      <w:bookmarkStart w:id="1" w:name="O_1043814"/>
      <w:bookmarkEnd w:id="1"/>
      <w:r w:rsidRPr="00CC29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2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E1">
            <w:pPr>
              <w:pStyle w:val="BodyTextBold"/>
              <w:rPr>
                <w:lang w:val="en-NZ"/>
              </w:rPr>
            </w:pPr>
            <w:r w:rsidRPr="00CC29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E1">
            <w:pPr>
              <w:pStyle w:val="BodyTextBold"/>
              <w:rPr>
                <w:lang w:val="en-NZ"/>
              </w:rPr>
            </w:pPr>
            <w:r w:rsidRPr="00CC29E1">
              <w:t>Comments</w:t>
            </w:r>
          </w:p>
        </w:tc>
      </w:tr>
      <w:tr w:rsidTr="00CC29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9E1">
            <w:pPr>
              <w:pStyle w:val="BodyText"/>
              <w:rPr>
                <w:lang w:val="en-NZ"/>
              </w:rPr>
            </w:pPr>
            <w:r w:rsidRPr="00CC29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9E1" w:rsidP="00CC29E1">
            <w:pPr>
              <w:pStyle w:val="BodyText"/>
            </w:pPr>
            <w:r w:rsidRPr="00CC29E1">
              <w:t>This version released with AMP Australian Meat Processing Training Package Version 4.0.</w:t>
            </w:r>
          </w:p>
        </w:tc>
      </w:tr>
    </w:tbl>
    <w:p w:rsidR="00000000" w:rsidRPr="00CC29E1" w:rsidP="00CC29E1">
      <w:pPr>
        <w:pStyle w:val="BodyText"/>
      </w:pPr>
    </w:p>
    <w:p w:rsidR="00000000" w:rsidRPr="00CC29E1" w:rsidP="00CC29E1">
      <w:pPr>
        <w:pStyle w:val="AllowPageBreak"/>
      </w:pPr>
    </w:p>
    <w:p w:rsidR="00000000" w:rsidRPr="00CC29E1" w:rsidP="00CC29E1">
      <w:pPr>
        <w:pStyle w:val="Heading1"/>
      </w:pPr>
      <w:bookmarkStart w:id="2" w:name="O_1043815"/>
      <w:bookmarkEnd w:id="2"/>
      <w:r w:rsidRPr="00CC29E1">
        <w:t>Performance Evidence</w:t>
      </w:r>
    </w:p>
    <w:p w:rsidR="00000000" w:rsidRPr="00CC29E1" w:rsidP="0071576D">
      <w:pPr>
        <w:pStyle w:val="BodyText"/>
      </w:pPr>
      <w:r w:rsidRPr="00CC29E1">
        <w:t>An individual demonst</w:t>
      </w:r>
      <w:r w:rsidRPr="00CC29E1">
        <w:t xml:space="preserve">rating competency must satisfy all of the elements and performance criteria in this unit. </w:t>
      </w:r>
    </w:p>
    <w:p w:rsidR="00000000" w:rsidRPr="00CC29E1" w:rsidP="0071576D">
      <w:pPr>
        <w:pStyle w:val="BodyText"/>
      </w:pPr>
      <w:r w:rsidRPr="00CC29E1">
        <w:t>There must be evidence that the individual has participated in one full day of saleyard trading on all categories of traded cattle, including:</w:t>
      </w:r>
      <w:r w:rsidRPr="00CC29E1">
        <w:rPr>
          <w:rStyle w:val="SpecialBold"/>
        </w:rPr>
        <w:t xml:space="preserve"> </w:t>
      </w:r>
    </w:p>
    <w:p w:rsidR="00000000" w:rsidRPr="00CC29E1" w:rsidP="0071576D">
      <w:pPr>
        <w:pStyle w:val="BodyText"/>
      </w:pPr>
      <w:r w:rsidRPr="00CC29E1">
        <w:t>accuracy standards:</w:t>
      </w:r>
    </w:p>
    <w:p w:rsidR="00000000" w:rsidRPr="00CC29E1" w:rsidP="00CC29E1">
      <w:pPr>
        <w:pStyle w:val="ListBullet"/>
      </w:pPr>
      <w:r w:rsidRPr="00CC29E1">
        <w:t>cattle liveweight estimates must be within 7% of actual cattle liveweight; 70% of the animals assessed must be within this range</w:t>
      </w:r>
    </w:p>
    <w:p w:rsidR="00000000" w:rsidRPr="00CC29E1" w:rsidP="00CC29E1">
      <w:pPr>
        <w:pStyle w:val="ListBullet"/>
      </w:pPr>
      <w:r w:rsidRPr="00CC29E1">
        <w:t>estimate must be within 3% (+/-) of actual dressing percentage; 70% of the animals assessed must be within this range, or</w:t>
      </w:r>
    </w:p>
    <w:p w:rsidR="00000000" w:rsidRPr="00CC29E1" w:rsidP="00CC29E1">
      <w:pPr>
        <w:pStyle w:val="ListBullet2"/>
      </w:pPr>
      <w:r w:rsidRPr="00CC29E1">
        <w:t>estimate must be within 12kg (+/-) of actual carcase weight; 70% of the animals assessed must be within this range</w:t>
      </w:r>
    </w:p>
    <w:p w:rsidR="00000000" w:rsidRPr="00CC29E1" w:rsidP="00CC29E1">
      <w:pPr>
        <w:pStyle w:val="ListBullet"/>
      </w:pPr>
      <w:r w:rsidRPr="00CC29E1">
        <w:t>estimate must be within 1 grade (+/-) of the actual muscle score; 70% of the animals assessed must be within this range</w:t>
      </w:r>
    </w:p>
    <w:p w:rsidR="00000000" w:rsidRPr="00CC29E1" w:rsidP="00CC29E1">
      <w:pPr>
        <w:pStyle w:val="ListBullet"/>
      </w:pPr>
      <w:r w:rsidRPr="00CC29E1">
        <w:t>estimate must be wit</w:t>
      </w:r>
      <w:r w:rsidRPr="00CC29E1">
        <w:t>hin 1 score (+/-) of the actual fat score; 70% of the animals assessed must be within this range.</w:t>
      </w:r>
    </w:p>
    <w:p w:rsidR="00000000" w:rsidRPr="00CC29E1" w:rsidP="0071576D">
      <w:pPr>
        <w:pStyle w:val="BodyText"/>
      </w:pPr>
      <w:r w:rsidRPr="00CC29E1">
        <w:t>ability to:</w:t>
      </w:r>
    </w:p>
    <w:p w:rsidR="00000000" w:rsidRPr="00CC29E1" w:rsidP="00CC29E1">
      <w:pPr>
        <w:pStyle w:val="ListBullet"/>
      </w:pPr>
      <w:r w:rsidRPr="00CC29E1">
        <w:t>identify hazards and follow safe work practices</w:t>
      </w:r>
    </w:p>
    <w:p w:rsidR="00000000" w:rsidRPr="00CC29E1" w:rsidP="00CC29E1">
      <w:pPr>
        <w:pStyle w:val="ListBullet"/>
      </w:pPr>
      <w:r w:rsidRPr="00CC29E1">
        <w:t xml:space="preserve">recognise livestock abnormalities </w:t>
      </w:r>
    </w:p>
    <w:p w:rsidR="00000000" w:rsidRPr="00CC29E1" w:rsidP="00CC29E1">
      <w:pPr>
        <w:pStyle w:val="ListBullet"/>
      </w:pPr>
      <w:r w:rsidRPr="00CC29E1">
        <w:t>develop constructive relationships with key livestock sales pe</w:t>
      </w:r>
      <w:r w:rsidRPr="00CC29E1">
        <w:t>rsonnel.</w:t>
      </w:r>
    </w:p>
    <w:p w:rsidR="00000000" w:rsidRPr="00CC29E1" w:rsidP="00CC29E1">
      <w:pPr>
        <w:pStyle w:val="AllowPageBreak"/>
      </w:pPr>
    </w:p>
    <w:p w:rsidR="00000000" w:rsidRPr="00CC29E1" w:rsidP="00CC29E1">
      <w:pPr>
        <w:pStyle w:val="Heading1"/>
      </w:pPr>
      <w:bookmarkStart w:id="3" w:name="O_1043816"/>
      <w:bookmarkEnd w:id="3"/>
      <w:r w:rsidRPr="00CC29E1">
        <w:t>Knowledge Evidence</w:t>
      </w:r>
    </w:p>
    <w:p w:rsidR="00000000" w:rsidRPr="00CC29E1" w:rsidP="0071576D">
      <w:pPr>
        <w:pStyle w:val="BodyText"/>
      </w:pPr>
      <w:r w:rsidRPr="00CC29E1">
        <w:t>An individual must be able to demonstrate the knowledge required to perform the tasks outlined in the elements and performance criteria of this unit. This includes knowledge of:</w:t>
      </w:r>
    </w:p>
    <w:p w:rsidR="00000000" w:rsidRPr="00CC29E1" w:rsidP="00CC29E1">
      <w:pPr>
        <w:pStyle w:val="ListBullet"/>
      </w:pPr>
      <w:r w:rsidRPr="00CC29E1">
        <w:t>saleyard operations</w:t>
      </w:r>
    </w:p>
    <w:p w:rsidR="00000000" w:rsidRPr="00CC29E1" w:rsidP="00CC29E1">
      <w:pPr>
        <w:pStyle w:val="ListBullet"/>
      </w:pPr>
      <w:r w:rsidRPr="00CC29E1">
        <w:t>personal p</w:t>
      </w:r>
      <w:r w:rsidRPr="00CC29E1">
        <w:t>rotective equipment required in the workplace</w:t>
      </w:r>
    </w:p>
    <w:p w:rsidR="00000000" w:rsidRPr="00CC29E1" w:rsidP="00CC29E1">
      <w:pPr>
        <w:pStyle w:val="ListBullet"/>
      </w:pPr>
      <w:r w:rsidRPr="00CC29E1">
        <w:t xml:space="preserve">standard classifications of livestock breeds and sex </w:t>
      </w:r>
    </w:p>
    <w:p w:rsidR="00000000" w:rsidRPr="00CC29E1" w:rsidP="00CC29E1">
      <w:pPr>
        <w:pStyle w:val="ListBullet"/>
      </w:pPr>
      <w:r w:rsidRPr="00CC29E1">
        <w:t xml:space="preserve">methods of determining age </w:t>
      </w:r>
    </w:p>
    <w:p w:rsidR="00000000" w:rsidRPr="00CC29E1" w:rsidP="00CC29E1">
      <w:pPr>
        <w:pStyle w:val="ListBullet"/>
      </w:pPr>
      <w:r w:rsidRPr="00CC29E1">
        <w:t>livestock classification or scoring system</w:t>
      </w:r>
    </w:p>
    <w:p w:rsidR="00000000" w:rsidRPr="00CC29E1" w:rsidP="00CC29E1">
      <w:pPr>
        <w:pStyle w:val="ListBullet"/>
      </w:pPr>
      <w:r w:rsidRPr="00CC29E1">
        <w:t>stock abnormalities that may affect price and potentially affect carcase value</w:t>
      </w:r>
    </w:p>
    <w:p w:rsidR="00000000" w:rsidRPr="00CC29E1" w:rsidP="00CC29E1">
      <w:pPr>
        <w:pStyle w:val="ListBullet"/>
      </w:pPr>
      <w:r w:rsidRPr="00CC29E1">
        <w:t>AUS-MEAT standards.</w:t>
      </w:r>
    </w:p>
    <w:p w:rsidR="00000000" w:rsidRPr="00CC29E1" w:rsidP="00CC29E1">
      <w:pPr>
        <w:pStyle w:val="AllowPageBreak"/>
      </w:pPr>
    </w:p>
    <w:p w:rsidR="00000000" w:rsidRPr="00CC29E1" w:rsidP="00CC29E1">
      <w:pPr>
        <w:pStyle w:val="Heading1"/>
      </w:pPr>
      <w:bookmarkStart w:id="4" w:name="O_1043817"/>
      <w:bookmarkEnd w:id="4"/>
      <w:r w:rsidRPr="00CC29E1">
        <w:t>Assessment Conditions</w:t>
      </w:r>
    </w:p>
    <w:p w:rsidR="00000000" w:rsidRPr="00CC29E1" w:rsidP="0071576D">
      <w:pPr>
        <w:pStyle w:val="BodyText"/>
      </w:pPr>
      <w:r w:rsidRPr="00CC29E1">
        <w:t xml:space="preserve">Assessment of skills must take place under the following conditions: </w:t>
      </w:r>
    </w:p>
    <w:p w:rsidR="00000000" w:rsidRPr="00CC29E1" w:rsidP="00CC29E1">
      <w:pPr>
        <w:pStyle w:val="ListBullet"/>
      </w:pPr>
      <w:r w:rsidRPr="00CC29E1">
        <w:t>physical conditions:</w:t>
      </w:r>
    </w:p>
    <w:p w:rsidR="00000000" w:rsidRPr="00CC29E1" w:rsidP="00CC29E1">
      <w:pPr>
        <w:pStyle w:val="ListBullet2"/>
      </w:pPr>
      <w:r w:rsidRPr="00CC29E1">
        <w:t>assessment requires access to an operating saleyard, abattoir facility or farm</w:t>
      </w:r>
    </w:p>
    <w:p w:rsidR="00000000" w:rsidRPr="00CC29E1" w:rsidP="00CC29E1">
      <w:pPr>
        <w:pStyle w:val="ListBullet2"/>
      </w:pPr>
      <w:r w:rsidRPr="00CC29E1">
        <w:t xml:space="preserve">during adverse weather </w:t>
      </w:r>
      <w:r w:rsidRPr="00CC29E1">
        <w:t xml:space="preserve">conditions </w:t>
      </w:r>
    </w:p>
    <w:p w:rsidR="00000000" w:rsidRPr="00CC29E1" w:rsidP="00CC29E1">
      <w:pPr>
        <w:pStyle w:val="ListBullet"/>
      </w:pPr>
      <w:r w:rsidRPr="00CC29E1">
        <w:t xml:space="preserve">resources, equipment and materials: </w:t>
      </w:r>
    </w:p>
    <w:p w:rsidR="00000000" w:rsidRPr="00CC29E1" w:rsidP="00CC29E1">
      <w:pPr>
        <w:pStyle w:val="ListBullet2"/>
      </w:pPr>
      <w:r w:rsidRPr="00CC29E1">
        <w:t>all assessments must be conducted under work conditions and against AUS-MEAT industry standards and regulations as well as MLA guidelines</w:t>
      </w:r>
    </w:p>
    <w:p w:rsidR="00000000" w:rsidRPr="00CC29E1" w:rsidP="00CC29E1">
      <w:pPr>
        <w:pStyle w:val="ListBullet2"/>
      </w:pPr>
      <w:r w:rsidRPr="00CC29E1">
        <w:t>live weight scales</w:t>
      </w:r>
    </w:p>
    <w:p w:rsidR="00000000" w:rsidRPr="00CC29E1" w:rsidP="00CC29E1">
      <w:pPr>
        <w:pStyle w:val="ListBullet2"/>
      </w:pPr>
      <w:r w:rsidRPr="00CC29E1">
        <w:t>slaughter reports to assess competency in calcul</w:t>
      </w:r>
      <w:r w:rsidRPr="00CC29E1">
        <w:t>ating carcase weight, fat score, muscle score</w:t>
      </w:r>
    </w:p>
    <w:p w:rsidR="00000000" w:rsidRPr="00CC29E1" w:rsidP="00CC29E1">
      <w:pPr>
        <w:pStyle w:val="ListBullet"/>
      </w:pPr>
      <w:r w:rsidRPr="00CC29E1">
        <w:t>specifications:</w:t>
      </w:r>
    </w:p>
    <w:p w:rsidR="00000000" w:rsidRPr="00CC29E1" w:rsidP="00CC29E1">
      <w:pPr>
        <w:pStyle w:val="ListBullet2"/>
      </w:pPr>
      <w:r w:rsidRPr="00CC29E1">
        <w:t>a minimum of three different forms of assessment must be used</w:t>
      </w:r>
    </w:p>
    <w:p w:rsidR="00000000" w:rsidRPr="00CC29E1" w:rsidP="00CC29E1">
      <w:pPr>
        <w:pStyle w:val="ListBullet2"/>
      </w:pPr>
      <w:r w:rsidRPr="00CC29E1">
        <w:t xml:space="preserve">formats/templates outlining structure of reports for varying audiences </w:t>
      </w:r>
    </w:p>
    <w:p w:rsidR="00000000" w:rsidRPr="00CC29E1" w:rsidP="00CC29E1">
      <w:pPr>
        <w:pStyle w:val="ListBullet2"/>
      </w:pPr>
      <w:r w:rsidRPr="00CC29E1">
        <w:t>assessments should be completed in the usual timeframe of the sale of the pen</w:t>
      </w:r>
      <w:r w:rsidRPr="00CC29E1">
        <w:rPr>
          <w:rStyle w:val="SpecialBold"/>
        </w:rPr>
        <w:t xml:space="preserve"> </w:t>
      </w:r>
    </w:p>
    <w:p w:rsidR="00000000" w:rsidRPr="00CC29E1" w:rsidP="00CC29E1">
      <w:pPr>
        <w:pStyle w:val="ListBullet"/>
      </w:pPr>
      <w:r w:rsidRPr="00CC29E1">
        <w:t>timeframes:</w:t>
      </w:r>
    </w:p>
    <w:p w:rsidR="00000000" w:rsidRPr="00CC29E1" w:rsidP="00CC29E1">
      <w:pPr>
        <w:pStyle w:val="ListBullet2"/>
      </w:pPr>
      <w:r w:rsidRPr="00CC29E1">
        <w:t>competency must be identified and sustained over a period of time</w:t>
      </w:r>
    </w:p>
    <w:p w:rsidR="00000000" w:rsidRPr="00CC29E1" w:rsidP="00CC29E1">
      <w:pPr>
        <w:pStyle w:val="ListBullet"/>
      </w:pPr>
      <w:r w:rsidRPr="00CC29E1">
        <w:t>relationships:</w:t>
      </w:r>
    </w:p>
    <w:p w:rsidR="00000000" w:rsidRPr="00CC29E1" w:rsidP="00CC29E1">
      <w:pPr>
        <w:pStyle w:val="ListBullet2"/>
      </w:pPr>
      <w:r w:rsidRPr="00CC29E1">
        <w:t>stock and station agents, Auctions Plus assessors, abattoirs assessors and lives</w:t>
      </w:r>
      <w:r w:rsidRPr="00CC29E1">
        <w:t>tock buyers, MLA Livestock Market Officers, and buyers.</w:t>
      </w:r>
    </w:p>
    <w:p w:rsidR="00000000" w:rsidRPr="00CC29E1" w:rsidP="0071576D">
      <w:pPr>
        <w:pStyle w:val="BodyText"/>
      </w:pPr>
      <w:r w:rsidRPr="00CC29E1">
        <w:t>Assessors of this unit must satisfy the requirements for assessors in applicable vocational education and training legislation, frameworks and/or standards.</w:t>
      </w:r>
    </w:p>
    <w:p w:rsidR="00000000" w:rsidRPr="00CC29E1" w:rsidP="00CC29E1">
      <w:pPr>
        <w:pStyle w:val="Heading1"/>
      </w:pPr>
      <w:bookmarkStart w:id="5" w:name="O_1043820"/>
      <w:bookmarkEnd w:id="5"/>
      <w:r w:rsidRPr="00CC29E1">
        <w:t>Links</w:t>
      </w:r>
    </w:p>
    <w:p w:rsidR="00000000" w:rsidRPr="00CC29E1" w:rsidP="0071576D">
      <w:pPr>
        <w:pStyle w:val="BodyText"/>
      </w:pPr>
      <w:r w:rsidRPr="00CC29E1">
        <w:t>Companion Volumes,</w:t>
      </w:r>
      <w:r w:rsidRPr="00CC29E1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E65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C29E1" w:rsidP="00CC29E1"/>
    <w:sectPr w:rsidSect="00CC29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1" w:rsidRPr="0071576D" w:rsidP="00715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6D" w:rsidP="00CC2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76D" w:rsidP="00CC2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576D" w:rsidP="00CC2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9E1" w:rsidRPr="0071576D" w:rsidP="00715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76D" w:rsidRPr="002D2AF8" w:rsidP="00CC2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AMPA3139 Prepare market reports —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1576D" w:rsidP="00CC2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E4F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A6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EA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9E1"/>
  </w:style>
  <w:style w:type="character" w:customStyle="1" w:styleId="Heading1Char">
    <w:name w:val="Heading 1 Char"/>
    <w:basedOn w:val="DefaultParagraphFont"/>
    <w:link w:val="Heading1"/>
    <w:rsid w:val="00CC2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9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9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9E1"/>
    <w:rPr>
      <w:b/>
      <w:spacing w:val="0"/>
    </w:rPr>
  </w:style>
  <w:style w:type="paragraph" w:styleId="ListBullet2">
    <w:name w:val="List Bullet 2"/>
    <w:basedOn w:val="List2"/>
    <w:rsid w:val="00CC29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2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29E1"/>
    <w:rPr>
      <w:b/>
    </w:rPr>
  </w:style>
  <w:style w:type="character" w:customStyle="1" w:styleId="Heading2Char">
    <w:name w:val="Heading 2 Char"/>
    <w:basedOn w:val="DefaultParagraphFont"/>
    <w:link w:val="Heading2"/>
    <w:rsid w:val="00CC2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9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9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9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9E1"/>
    <w:rPr>
      <w:i/>
    </w:rPr>
  </w:style>
  <w:style w:type="paragraph" w:styleId="Caption">
    <w:name w:val="caption"/>
    <w:basedOn w:val="BodyText"/>
    <w:next w:val="Normal"/>
    <w:qFormat/>
    <w:rsid w:val="00CC2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9E1"/>
  </w:style>
  <w:style w:type="paragraph" w:styleId="TableofFigures">
    <w:name w:val="table of figures"/>
    <w:basedOn w:val="Normal"/>
    <w:next w:val="Normal"/>
    <w:semiHidden/>
    <w:rsid w:val="00CC2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9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9E1"/>
    <w:rPr>
      <w:rFonts w:ascii="Wingdings" w:hAnsi="Wingdings"/>
    </w:rPr>
  </w:style>
  <w:style w:type="paragraph" w:customStyle="1" w:styleId="TableHeading">
    <w:name w:val="Table Heading"/>
    <w:basedOn w:val="HeadingBase"/>
    <w:rsid w:val="00CC2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9E1"/>
    <w:rPr>
      <w:color w:val="0033CC"/>
      <w:u w:val="none"/>
    </w:rPr>
  </w:style>
  <w:style w:type="paragraph" w:customStyle="1" w:styleId="BodyTextRight">
    <w:name w:val="Body Text Right"/>
    <w:basedOn w:val="BodyText"/>
    <w:rsid w:val="00CC2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9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9E1"/>
    <w:rPr>
      <w:sz w:val="32"/>
    </w:rPr>
  </w:style>
  <w:style w:type="paragraph" w:customStyle="1" w:styleId="HeadingProcedure">
    <w:name w:val="Heading Procedure"/>
    <w:basedOn w:val="HeadingBase"/>
    <w:next w:val="Normal"/>
    <w:rsid w:val="00CC2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9E1"/>
    <w:pPr>
      <w:spacing w:before="60" w:after="60"/>
    </w:pPr>
  </w:style>
  <w:style w:type="paragraph" w:styleId="ListContinue">
    <w:name w:val="List Continue"/>
    <w:basedOn w:val="List"/>
    <w:rsid w:val="00CC29E1"/>
    <w:pPr>
      <w:ind w:firstLine="0"/>
    </w:pPr>
  </w:style>
  <w:style w:type="paragraph" w:customStyle="1" w:styleId="ListNote">
    <w:name w:val="List Note"/>
    <w:basedOn w:val="List"/>
    <w:rsid w:val="00CC2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9E1"/>
    <w:rPr>
      <w:rFonts w:ascii="Courier New" w:hAnsi="Courier New"/>
    </w:rPr>
  </w:style>
  <w:style w:type="paragraph" w:customStyle="1" w:styleId="NoteBullet">
    <w:name w:val="Note Bullet"/>
    <w:basedOn w:val="Note"/>
    <w:rsid w:val="00CC2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9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9E1"/>
    <w:rPr>
      <w:b/>
      <w:smallCaps/>
    </w:rPr>
  </w:style>
  <w:style w:type="paragraph" w:customStyle="1" w:styleId="TableListNumber">
    <w:name w:val="Table List Number"/>
    <w:basedOn w:val="ListNumber"/>
    <w:rsid w:val="00CC2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9E1"/>
    <w:pPr>
      <w:numPr>
        <w:numId w:val="9"/>
      </w:numPr>
    </w:pPr>
  </w:style>
  <w:style w:type="paragraph" w:customStyle="1" w:styleId="ListAlpha2">
    <w:name w:val="List Alpha 2"/>
    <w:basedOn w:val="List2"/>
    <w:rsid w:val="00CC29E1"/>
    <w:pPr>
      <w:numPr>
        <w:numId w:val="8"/>
      </w:numPr>
    </w:pPr>
  </w:style>
  <w:style w:type="paragraph" w:styleId="List2">
    <w:name w:val="List 2"/>
    <w:basedOn w:val="BodyText"/>
    <w:rsid w:val="00CC2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9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9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9E1"/>
    <w:pPr>
      <w:numPr>
        <w:numId w:val="4"/>
      </w:numPr>
    </w:pPr>
  </w:style>
  <w:style w:type="paragraph" w:styleId="ListContinue2">
    <w:name w:val="List Continue 2"/>
    <w:basedOn w:val="List2"/>
    <w:rsid w:val="00CC29E1"/>
    <w:pPr>
      <w:ind w:firstLine="0"/>
    </w:pPr>
  </w:style>
  <w:style w:type="paragraph" w:styleId="ListContinue3">
    <w:name w:val="List Continue 3"/>
    <w:basedOn w:val="List3"/>
    <w:rsid w:val="00CC29E1"/>
    <w:pPr>
      <w:ind w:left="1021" w:firstLine="0"/>
    </w:pPr>
  </w:style>
  <w:style w:type="paragraph" w:styleId="ListContinue4">
    <w:name w:val="List Continue 4"/>
    <w:basedOn w:val="List4"/>
    <w:rsid w:val="00CC29E1"/>
    <w:pPr>
      <w:ind w:firstLine="0"/>
    </w:pPr>
  </w:style>
  <w:style w:type="paragraph" w:styleId="ListContinue5">
    <w:name w:val="List Continue 5"/>
    <w:basedOn w:val="List5"/>
    <w:rsid w:val="00CC29E1"/>
    <w:pPr>
      <w:ind w:firstLine="0"/>
    </w:pPr>
  </w:style>
  <w:style w:type="paragraph" w:styleId="ListNumber3">
    <w:name w:val="List Number 3"/>
    <w:basedOn w:val="List3"/>
    <w:rsid w:val="00CC29E1"/>
    <w:pPr>
      <w:numPr>
        <w:numId w:val="5"/>
      </w:numPr>
    </w:pPr>
  </w:style>
  <w:style w:type="paragraph" w:styleId="ListNumber4">
    <w:name w:val="List Number 4"/>
    <w:basedOn w:val="List4"/>
    <w:rsid w:val="00CC29E1"/>
    <w:pPr>
      <w:numPr>
        <w:numId w:val="6"/>
      </w:numPr>
    </w:pPr>
  </w:style>
  <w:style w:type="paragraph" w:styleId="ListNumber5">
    <w:name w:val="List Number 5"/>
    <w:basedOn w:val="List5"/>
    <w:rsid w:val="00CC29E1"/>
    <w:pPr>
      <w:numPr>
        <w:numId w:val="7"/>
      </w:numPr>
    </w:pPr>
  </w:style>
  <w:style w:type="paragraph" w:styleId="BlockText">
    <w:name w:val="Block Text"/>
    <w:basedOn w:val="Normal"/>
    <w:rsid w:val="00CC2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9E1"/>
    <w:rPr>
      <w:sz w:val="16"/>
      <w:vertAlign w:val="superscript"/>
    </w:rPr>
  </w:style>
  <w:style w:type="character" w:customStyle="1" w:styleId="Symbols">
    <w:name w:val="Symbols"/>
    <w:basedOn w:val="DefaultParagraphFont"/>
    <w:rsid w:val="00CC29E1"/>
    <w:rPr>
      <w:rFonts w:ascii="Symbol" w:hAnsi="Symbol"/>
    </w:rPr>
  </w:style>
  <w:style w:type="character" w:customStyle="1" w:styleId="MenuOptions">
    <w:name w:val="Menu Options"/>
    <w:basedOn w:val="DefaultParagraphFont"/>
    <w:rsid w:val="00CC2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9E1"/>
    <w:rPr>
      <w:b/>
    </w:rPr>
  </w:style>
  <w:style w:type="character" w:customStyle="1" w:styleId="Underlined">
    <w:name w:val="Underlined"/>
    <w:basedOn w:val="DefaultParagraphFont"/>
    <w:rsid w:val="00CC29E1"/>
    <w:rPr>
      <w:u w:val="single"/>
    </w:rPr>
  </w:style>
  <w:style w:type="paragraph" w:customStyle="1" w:styleId="TableBodyTextRight">
    <w:name w:val="Table Body Text Right"/>
    <w:basedOn w:val="TableBodyText"/>
    <w:rsid w:val="00CC2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9E1"/>
    <w:rPr>
      <w:sz w:val="18"/>
    </w:rPr>
  </w:style>
  <w:style w:type="paragraph" w:customStyle="1" w:styleId="BodySmallRight">
    <w:name w:val="Body Small Right"/>
    <w:basedOn w:val="BodyTextRight"/>
    <w:rsid w:val="00CC29E1"/>
    <w:rPr>
      <w:sz w:val="18"/>
      <w:szCs w:val="18"/>
    </w:rPr>
  </w:style>
  <w:style w:type="paragraph" w:customStyle="1" w:styleId="MarginEdition">
    <w:name w:val="Margin Edition"/>
    <w:basedOn w:val="MarginNote"/>
    <w:rsid w:val="00CC2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9E1"/>
    <w:rPr>
      <w:sz w:val="2"/>
      <w:szCs w:val="2"/>
    </w:rPr>
  </w:style>
  <w:style w:type="character" w:customStyle="1" w:styleId="Small">
    <w:name w:val="Small"/>
    <w:basedOn w:val="DefaultParagraphFont"/>
    <w:rsid w:val="00CC29E1"/>
    <w:rPr>
      <w:sz w:val="16"/>
    </w:rPr>
  </w:style>
  <w:style w:type="paragraph" w:customStyle="1" w:styleId="WideTable">
    <w:name w:val="Wide Table"/>
    <w:basedOn w:val="Normal"/>
    <w:rsid w:val="00CC2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9E1"/>
  </w:style>
  <w:style w:type="paragraph" w:styleId="Quote">
    <w:name w:val="Quote"/>
    <w:basedOn w:val="Heading1"/>
    <w:link w:val="QuoteChar"/>
    <w:qFormat/>
    <w:rsid w:val="00CC2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9E1"/>
    <w:pPr>
      <w:pageBreakBefore/>
    </w:pPr>
  </w:style>
  <w:style w:type="paragraph" w:customStyle="1" w:styleId="Border">
    <w:name w:val="Border"/>
    <w:basedOn w:val="Normal"/>
    <w:qFormat/>
    <w:rsid w:val="00CC2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9E1"/>
    <w:rPr>
      <w:u w:val="single"/>
    </w:rPr>
  </w:style>
  <w:style w:type="character" w:customStyle="1" w:styleId="BoldandItalics">
    <w:name w:val="Bold and Italics"/>
    <w:qFormat/>
    <w:rsid w:val="00CC29E1"/>
    <w:rPr>
      <w:b/>
      <w:i/>
      <w:u w:val="none"/>
    </w:rPr>
  </w:style>
  <w:style w:type="paragraph" w:styleId="BalloonText">
    <w:name w:val="Balloon Text"/>
    <w:basedOn w:val="Normal"/>
    <w:link w:val="BalloonTextChar"/>
    <w:rsid w:val="00CC2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9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5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2865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AMPA3139 Prepare market reports — cattle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2022-02-25T02:04:00Z</dcterms:created>
  <dcterms:modified xsi:type="dcterms:W3CDTF">2022-02-25T02:04:00Z</dcterms:modified>
</cp:coreProperties>
</file>