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42E" w:rsidP="00375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AMPA3135 Perform ante and post-mortem inspection - Calves</w:t>
      </w:r>
      <w:r>
        <w:fldChar w:fldCharType="end"/>
      </w:r>
    </w:p>
    <w:p w:rsidR="0037542E" w:rsidP="0037542E">
      <w:pPr>
        <w:pStyle w:val="Version"/>
        <w:sectPr w:rsidSect="006E1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AAA" w:rsidP="006E1AAA">
      <w:pPr>
        <w:pStyle w:val="SuperHeading"/>
      </w:pPr>
      <w:r w:rsidRPr="006E1AAA">
        <w:t>AMPA3135 Perform ante and post-mortem inspection - Calves</w:t>
      </w:r>
    </w:p>
    <w:p w:rsidR="00000000" w:rsidRPr="006E1AAA" w:rsidP="006E1AAA">
      <w:pPr>
        <w:pStyle w:val="Heading1"/>
      </w:pPr>
      <w:bookmarkStart w:id="1" w:name="O_898560"/>
      <w:bookmarkEnd w:id="1"/>
      <w:r w:rsidRPr="006E1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1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TableHeading"/>
              <w:rPr>
                <w:lang w:val="en-NZ"/>
              </w:rPr>
            </w:pPr>
            <w:r w:rsidRPr="006E1A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TableHeading"/>
              <w:rPr>
                <w:lang w:val="en-NZ"/>
              </w:rPr>
            </w:pPr>
            <w:r w:rsidRPr="006E1A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TableHeading"/>
              <w:rPr>
                <w:lang w:val="en-NZ"/>
              </w:rPr>
            </w:pPr>
            <w:r w:rsidRPr="006E1AAA">
              <w:t>Comment</w:t>
            </w:r>
          </w:p>
        </w:tc>
      </w:tr>
      <w:tr w:rsidTr="006E1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BodyText"/>
              <w:rPr>
                <w:lang w:val="en-NZ"/>
              </w:rPr>
            </w:pPr>
            <w:r w:rsidRPr="006E1A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BodyText"/>
              <w:rPr>
                <w:lang w:val="en-NZ"/>
              </w:rPr>
            </w:pPr>
            <w:r w:rsidRPr="006E1AA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BodyText"/>
            </w:pPr>
            <w:r w:rsidRPr="006E1AAA">
              <w:t>Initial release</w:t>
            </w:r>
          </w:p>
        </w:tc>
      </w:tr>
    </w:tbl>
    <w:p w:rsidR="00000000" w:rsidRPr="006E1AAA" w:rsidP="006E1AAA">
      <w:pPr>
        <w:pStyle w:val="BodyText"/>
      </w:pPr>
    </w:p>
    <w:p w:rsidR="00000000" w:rsidRPr="006E1AAA" w:rsidP="006E1AAA">
      <w:pPr>
        <w:pStyle w:val="AllowPageBreak"/>
      </w:pPr>
    </w:p>
    <w:p w:rsidR="00000000" w:rsidRPr="006E1AAA" w:rsidP="006E1AAA">
      <w:pPr>
        <w:pStyle w:val="Heading1"/>
      </w:pPr>
      <w:bookmarkStart w:id="2" w:name="O_898561"/>
      <w:bookmarkEnd w:id="2"/>
      <w:r w:rsidRPr="006E1AAA">
        <w:t>Application</w:t>
      </w:r>
    </w:p>
    <w:p w:rsidR="00000000" w:rsidRPr="006E1AAA" w:rsidP="0037542E">
      <w:pPr>
        <w:pStyle w:val="BodyText"/>
      </w:pPr>
      <w:r w:rsidRPr="006E1AAA">
        <w:t>This unit describes the skills and knowledge required to perform ante-mortem and post-mortem inspection duties on calves in accordance with the Australian Standard.</w:t>
      </w:r>
    </w:p>
    <w:p w:rsidR="00000000" w:rsidRPr="006E1AAA" w:rsidP="0037542E">
      <w:pPr>
        <w:pStyle w:val="BodyText"/>
      </w:pPr>
      <w:r w:rsidRPr="006E1AAA">
        <w:t xml:space="preserve">This unit is applicable to those who seek employment and registration as a meat inspector </w:t>
      </w:r>
      <w:r w:rsidRPr="006E1AAA">
        <w:t>in either the domestic or export processing sectors.</w:t>
      </w:r>
    </w:p>
    <w:p w:rsidR="00000000" w:rsidRPr="006E1AAA" w:rsidP="0037542E">
      <w:pPr>
        <w:pStyle w:val="BodyText"/>
      </w:pPr>
      <w:r w:rsidRPr="006E1AAA">
        <w:t>All work should be carried out to comply with workplace procedures, customer requirements and product specifications.</w:t>
      </w:r>
    </w:p>
    <w:p w:rsidR="00000000" w:rsidRPr="006E1AAA" w:rsidP="0037542E">
      <w:pPr>
        <w:pStyle w:val="BodyText"/>
      </w:pPr>
      <w:r w:rsidRPr="006E1AAA">
        <w:t>This unit applies to individuals who work under broad direction and take responsibi</w:t>
      </w:r>
      <w:r w:rsidRPr="006E1AAA">
        <w:t>lity for their own work including limited responsibility for the work of others. They provide and communicate solutions to a range of predictable problems.</w:t>
      </w:r>
    </w:p>
    <w:p w:rsidR="00000000" w:rsidRPr="006E1AAA" w:rsidP="0037542E">
      <w:pPr>
        <w:pStyle w:val="BodyText"/>
      </w:pPr>
      <w:r w:rsidRPr="006E1AAA">
        <w:t>No occupational licensing, legislative or certification requirements are known to apply to this uni</w:t>
      </w:r>
      <w:r w:rsidRPr="006E1AAA">
        <w:t>t at the time of publication.</w:t>
      </w:r>
    </w:p>
    <w:p w:rsidR="00000000" w:rsidRPr="006E1AAA" w:rsidP="0037542E">
      <w:pPr>
        <w:pStyle w:val="BodyText"/>
      </w:pPr>
      <w:r w:rsidRPr="006E1AAA">
        <w:t>This unit must be delivered and assessed in the context of Australian meat processing standards and regulations.</w:t>
      </w:r>
    </w:p>
    <w:p w:rsidR="00000000" w:rsidRPr="006E1AAA" w:rsidP="006E1AAA">
      <w:pPr>
        <w:pStyle w:val="Heading1"/>
      </w:pPr>
      <w:bookmarkStart w:id="3" w:name="O_898562"/>
      <w:bookmarkEnd w:id="3"/>
      <w:r w:rsidRPr="006E1AAA">
        <w:t>Pre-requisite Unit</w:t>
      </w:r>
    </w:p>
    <w:p w:rsidR="00000000" w:rsidRPr="006E1AAA" w:rsidP="006E1AAA">
      <w:pPr>
        <w:pStyle w:val="List"/>
      </w:pPr>
      <w:r w:rsidRPr="006E1AAA">
        <w:t xml:space="preserve">AMPX209 Sharpen Knives </w:t>
      </w:r>
    </w:p>
    <w:p w:rsidR="00000000" w:rsidRPr="006E1AAA" w:rsidP="006E1AAA">
      <w:pPr>
        <w:pStyle w:val="List"/>
      </w:pPr>
      <w:r w:rsidRPr="006E1AAA">
        <w:t>AMPA3002 Handle animals humanely while conducting an</w:t>
      </w:r>
      <w:r w:rsidRPr="006E1AAA">
        <w:t>te-mortem inspection</w:t>
      </w:r>
    </w:p>
    <w:p w:rsidR="00000000" w:rsidRPr="006E1AAA" w:rsidP="006E1AAA">
      <w:pPr>
        <w:pStyle w:val="Heading1"/>
      </w:pPr>
      <w:bookmarkStart w:id="4" w:name="O_898564"/>
      <w:bookmarkEnd w:id="4"/>
      <w:r w:rsidRPr="006E1AAA">
        <w:t>Unit Sector</w:t>
      </w:r>
    </w:p>
    <w:p w:rsidR="00000000" w:rsidRPr="006E1AAA" w:rsidP="006E1AAA">
      <w:pPr>
        <w:pStyle w:val="Heading1"/>
      </w:pPr>
      <w:bookmarkStart w:id="5" w:name="O_898565"/>
      <w:bookmarkEnd w:id="5"/>
      <w:r w:rsidRPr="006E1AA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TableHeading"/>
              <w:rPr>
                <w:lang w:val="en-NZ"/>
              </w:rPr>
            </w:pPr>
            <w:r w:rsidRPr="006E1AA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TableHeading"/>
              <w:rPr>
                <w:lang w:val="en-NZ"/>
              </w:rPr>
            </w:pPr>
            <w:r w:rsidRPr="006E1AAA">
              <w:t>Performance criteria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BodyText"/>
              <w:rPr>
                <w:lang w:val="en-NZ"/>
              </w:rPr>
            </w:pPr>
            <w:r w:rsidRPr="006E1AA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BodyText"/>
              <w:rPr>
                <w:lang w:val="en-NZ"/>
              </w:rPr>
            </w:pPr>
            <w:r w:rsidRPr="006E1AAA">
              <w:t>Performance criteria describe the performance needed to demonstrate achievement of the element.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1.</w:t>
            </w:r>
            <w:r w:rsidRPr="006E1AAA">
              <w:tab/>
              <w:t>Identify regulatory requirements for calves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1.1</w:t>
            </w:r>
            <w:r w:rsidRPr="006E1AAA">
              <w:tab/>
              <w:t>Explain sources of calves for slaughter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1.2</w:t>
            </w:r>
            <w:r w:rsidRPr="006E1AAA">
              <w:tab/>
              <w:t>Identify regulatory requirements for the handling and processing</w:t>
            </w:r>
            <w:r w:rsidRPr="006E1AAA">
              <w:t xml:space="preserve"> of calves 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2.</w:t>
            </w:r>
            <w:r w:rsidRPr="006E1AAA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2.1</w:t>
            </w:r>
            <w:r w:rsidRPr="006E1AAA">
              <w:tab/>
              <w:t>Explain reasons for ante-mortem inspection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2.2</w:t>
            </w:r>
            <w:r w:rsidRPr="006E1AAA">
              <w:tab/>
              <w:t>Identify regulatory requirements associated with ante-mortem inspection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3.</w:t>
            </w:r>
            <w:r w:rsidRPr="006E1AAA">
              <w:tab/>
              <w:t>Perform ante-mortem inspection on cattle and/or buffalo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3.1</w:t>
            </w:r>
            <w:r w:rsidRPr="006E1AAA">
              <w:tab/>
            </w:r>
            <w:r w:rsidRPr="006E1AAA">
              <w:t>Identify and explain procedures and principles of humane handling of calves</w:t>
            </w:r>
          </w:p>
          <w:p w:rsidR="00000000" w:rsidRPr="006E1AAA" w:rsidP="006E1AAA">
            <w:pPr>
              <w:pStyle w:val="List"/>
            </w:pPr>
            <w:r w:rsidRPr="006E1AAA">
              <w:t>3.2</w:t>
            </w:r>
            <w:r w:rsidRPr="006E1AAA">
              <w:tab/>
              <w:t>Detect and identify signs of common conditions responsible for abnormalities at ante-mortem</w:t>
            </w:r>
          </w:p>
          <w:p w:rsidR="00000000" w:rsidRPr="006E1AAA" w:rsidP="006E1AAA">
            <w:pPr>
              <w:pStyle w:val="List"/>
            </w:pPr>
            <w:r w:rsidRPr="006E1AAA">
              <w:t>3.3</w:t>
            </w:r>
            <w:r w:rsidRPr="006E1AAA">
              <w:tab/>
              <w:t xml:space="preserve">Identify procedures for humane destruction </w:t>
            </w:r>
          </w:p>
          <w:p w:rsidR="00000000" w:rsidRPr="006E1AAA" w:rsidP="006E1AAA">
            <w:pPr>
              <w:pStyle w:val="List"/>
            </w:pPr>
            <w:r w:rsidRPr="006E1AAA">
              <w:t>3.4</w:t>
            </w:r>
            <w:r w:rsidRPr="006E1AAA">
              <w:tab/>
            </w:r>
            <w:r w:rsidRPr="006E1AAA">
              <w:t>Identify procedures for emergency and suspect slaughter</w:t>
            </w:r>
          </w:p>
          <w:p w:rsidR="00000000" w:rsidRPr="006E1AAA" w:rsidP="006E1AAA">
            <w:pPr>
              <w:pStyle w:val="List"/>
            </w:pPr>
            <w:r w:rsidRPr="006E1AAA">
              <w:t>3.5</w:t>
            </w:r>
            <w:r w:rsidRPr="006E1AAA">
              <w:tab/>
              <w:t>Perform ante-mortem inspection on calves according to relevant workplace health and safety and regulatory requirements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3.6</w:t>
            </w:r>
            <w:r w:rsidRPr="006E1AAA">
              <w:tab/>
              <w:t>Identify Quality Assurance aspects of ante-mortem inspection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4.</w:t>
            </w:r>
            <w:r w:rsidRPr="006E1AAA">
              <w:tab/>
              <w:t>Make dis</w:t>
            </w:r>
            <w:r w:rsidRPr="006E1AAA">
              <w:t>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4.1</w:t>
            </w:r>
            <w:r w:rsidRPr="006E1AAA">
              <w:tab/>
              <w:t>Identify and describe common diseases and conditions responsible for abnormalities in calves</w:t>
            </w:r>
          </w:p>
          <w:p w:rsidR="00000000" w:rsidRPr="006E1AAA" w:rsidP="006E1AAA">
            <w:pPr>
              <w:pStyle w:val="List"/>
            </w:pPr>
            <w:r w:rsidRPr="006E1AAA">
              <w:t>4.2</w:t>
            </w:r>
            <w:r w:rsidRPr="006E1AAA">
              <w:tab/>
              <w:t>Segregate suspect stock according to regulatory and workplace requirements</w:t>
            </w:r>
          </w:p>
          <w:p w:rsidR="00000000" w:rsidRPr="006E1AAA" w:rsidP="006E1AAA">
            <w:pPr>
              <w:pStyle w:val="List"/>
            </w:pPr>
            <w:r w:rsidRPr="006E1AAA">
              <w:t>4.3</w:t>
            </w:r>
            <w:r w:rsidRPr="006E1AAA">
              <w:tab/>
              <w:t>Identify sign</w:t>
            </w:r>
            <w:r w:rsidRPr="006E1AAA">
              <w:t>s of emergency or notifiable diseases that could be seen at ante-mortem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4.4</w:t>
            </w:r>
            <w:r w:rsidRPr="006E1AAA">
              <w:tab/>
              <w:t>Describe emergency or notifiable disease procedures as set out in the relevant regulations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5.</w:t>
            </w:r>
            <w:r w:rsidRPr="006E1AAA">
              <w:tab/>
              <w:t>Identify base anatomical structure systems of cattle or buffalo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5.1</w:t>
            </w:r>
            <w:r w:rsidRPr="006E1AAA">
              <w:tab/>
              <w:t>Identify organs o</w:t>
            </w:r>
            <w:r w:rsidRPr="006E1AAA">
              <w:t>f calves</w:t>
            </w:r>
          </w:p>
          <w:p w:rsidR="00000000" w:rsidRPr="006E1AAA" w:rsidP="006E1AAA">
            <w:pPr>
              <w:pStyle w:val="List"/>
            </w:pPr>
            <w:r w:rsidRPr="006E1AAA">
              <w:t>5.2</w:t>
            </w:r>
            <w:r w:rsidRPr="006E1AAA">
              <w:tab/>
              <w:t>Identify and explain lymphatic, circulatory, digestive, urinary, nervous and respiratory systems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5.3</w:t>
            </w:r>
            <w:r w:rsidRPr="006E1AAA">
              <w:tab/>
              <w:t>Identify basic skeletal structure of cattle and/or buffalo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6.</w:t>
            </w:r>
            <w:r w:rsidRPr="006E1AAA">
              <w:tab/>
              <w:t>Identify the main reasons for post-mortem inspection</w:t>
            </w:r>
            <w:r w:rsidRPr="006E1AAA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6.1</w:t>
            </w:r>
            <w:r w:rsidRPr="006E1AAA">
              <w:tab/>
            </w:r>
            <w:r w:rsidRPr="006E1AAA">
              <w:t xml:space="preserve">Identify reasons for post-mortem inspection 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6.2</w:t>
            </w:r>
            <w:r w:rsidRPr="006E1AAA">
              <w:tab/>
              <w:t xml:space="preserve">Identify regulatory requirements associated with post-mortem inspection 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7.</w:t>
            </w:r>
            <w:r w:rsidRPr="006E1AAA">
              <w:tab/>
              <w:t>Perform post-mortem inspection of cattle or buffalo</w:t>
            </w:r>
            <w:r w:rsidRPr="006E1AAA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7.1</w:t>
            </w:r>
            <w:r w:rsidRPr="006E1AAA">
              <w:tab/>
              <w:t>Follow procedures for post-mortem inspection</w:t>
            </w:r>
          </w:p>
          <w:p w:rsidR="00000000" w:rsidRPr="006E1AAA" w:rsidP="006E1AAA">
            <w:pPr>
              <w:pStyle w:val="List"/>
            </w:pPr>
            <w:r w:rsidRPr="006E1AAA">
              <w:t>7.2</w:t>
            </w:r>
            <w:r w:rsidRPr="006E1AAA">
              <w:tab/>
              <w:t>Identify and detect abno</w:t>
            </w:r>
            <w:r w:rsidRPr="006E1AAA">
              <w:t xml:space="preserve">rmalities </w:t>
            </w:r>
          </w:p>
          <w:p w:rsidR="00000000" w:rsidRPr="006E1AAA" w:rsidP="006E1AAA">
            <w:pPr>
              <w:pStyle w:val="List"/>
            </w:pPr>
            <w:r w:rsidRPr="006E1AAA">
              <w:t>7.3</w:t>
            </w:r>
            <w:r w:rsidRPr="006E1AAA">
              <w:tab/>
              <w:t>Perform post-mortem inspection on calves in accordance with regulatory requirements, hygiene and sanitation requirements and workplace health and safety requirements, in a work environment and under normal production conditions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7.4</w:t>
            </w:r>
            <w:r w:rsidRPr="006E1AAA">
              <w:tab/>
              <w:t xml:space="preserve">Identify </w:t>
            </w:r>
            <w:r w:rsidRPr="006E1AAA">
              <w:t>Quality Assurance (QA) requirements of post-mortem inspection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8.</w:t>
            </w:r>
            <w:r w:rsidRPr="006E1AAA">
              <w:tab/>
              <w:t>Make disposition</w:t>
            </w:r>
            <w:r w:rsidRPr="006E1AAA">
              <w:tab/>
            </w:r>
          </w:p>
          <w:p w:rsidR="00000000" w:rsidRPr="006E1AAA" w:rsidP="006E1AAA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8.1</w:t>
            </w:r>
            <w:r w:rsidRPr="006E1AAA">
              <w:tab/>
              <w:t>Detect and identify common diseases and conditions responsible for abnormalities for calves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8.2</w:t>
            </w:r>
            <w:r w:rsidRPr="006E1AAA">
              <w:tab/>
              <w:t xml:space="preserve">Identify and explain symptoms of notifiable diseases 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9.</w:t>
            </w:r>
            <w:r w:rsidRPr="006E1AAA">
              <w:tab/>
              <w:t>Treat affect</w:t>
            </w:r>
            <w:r w:rsidRPr="006E1AAA">
              <w:t>ed carcase appropriately</w:t>
            </w:r>
            <w:r w:rsidRPr="006E1AAA">
              <w:tab/>
            </w:r>
          </w:p>
          <w:p w:rsidR="00000000" w:rsidRPr="006E1AAA" w:rsidP="006E1AAA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9.1</w:t>
            </w:r>
            <w:r w:rsidRPr="006E1AAA">
              <w:tab/>
              <w:t xml:space="preserve">Treat carcase in accordance with regulatory, hygiene and sanitation, and workplace health and safety requirements 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9.2</w:t>
            </w:r>
            <w:r w:rsidRPr="006E1AAA">
              <w:tab/>
              <w:t>Demonstrate anatomical knowledge of carcase in the disposition process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10.</w:t>
            </w:r>
            <w:r w:rsidRPr="006E1AAA">
              <w:tab/>
              <w:t>Monitor stunning and sl</w:t>
            </w:r>
            <w:r w:rsidRPr="006E1AAA">
              <w:t>aughter of animals</w:t>
            </w:r>
            <w:r w:rsidRPr="006E1AAA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10.1</w:t>
            </w:r>
            <w:r w:rsidRPr="006E1AAA">
              <w:tab/>
              <w:t>Identify requirements for effective stunning and slaughter</w:t>
            </w:r>
          </w:p>
          <w:p w:rsidR="00000000" w:rsidRPr="006E1AAA" w:rsidP="006E1AAA">
            <w:pPr>
              <w:pStyle w:val="List"/>
            </w:pPr>
            <w:r w:rsidRPr="006E1AAA">
              <w:t>10.2</w:t>
            </w:r>
            <w:r w:rsidRPr="006E1AAA">
              <w:tab/>
              <w:t>Ensure animals are stunned and bled according to workplace and regulatory requirements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10.3</w:t>
            </w:r>
            <w:r w:rsidRPr="006E1AAA">
              <w:tab/>
              <w:t>Take corrective action in the event of ineffective stunning or bleeding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11</w:t>
            </w:r>
            <w:r w:rsidRPr="006E1AAA">
              <w:t>.</w:t>
            </w:r>
            <w:r w:rsidRPr="006E1AAA">
              <w:tab/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11.1</w:t>
            </w:r>
            <w:r w:rsidRPr="006E1AAA">
              <w:tab/>
              <w:t>Identify and describe procedures for retained carcase in accordance with workplace and regulatory requirements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12.</w:t>
            </w:r>
            <w:r w:rsidRPr="006E1AAA">
              <w:tab/>
              <w:t>Identify and use Personal and Protective Equipment (PPE)</w:t>
            </w:r>
            <w:r w:rsidRPr="006E1AAA">
              <w:t xml:space="preserve">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12.1</w:t>
            </w:r>
            <w:r w:rsidRPr="006E1AAA">
              <w:tab/>
              <w:t>Identify and explain the purpose of the PPE equipment required for post-mortem inspection</w:t>
            </w:r>
          </w:p>
          <w:p w:rsidR="00000000" w:rsidRPr="006E1AAA" w:rsidP="006E1AAA">
            <w:pPr>
              <w:pStyle w:val="List"/>
            </w:pPr>
            <w:r w:rsidRPr="006E1AAA">
              <w:t>12.2</w:t>
            </w:r>
            <w:r w:rsidRPr="006E1AAA">
              <w:tab/>
              <w:t>Use equipment in accordance with QA and workplace requirements</w:t>
            </w:r>
          </w:p>
          <w:p w:rsidR="00000000" w:rsidP="006E1AAA">
            <w:pPr>
              <w:pStyle w:val="List"/>
              <w:rPr>
                <w:lang w:val="en-NZ"/>
              </w:rPr>
            </w:pPr>
            <w:r w:rsidRPr="006E1AAA">
              <w:t>12.3</w:t>
            </w:r>
            <w:r w:rsidRPr="006E1AAA">
              <w:tab/>
              <w:t>Use, maintain and store Personal Protective</w:t>
            </w:r>
            <w:r w:rsidRPr="006E1AAA">
              <w:t xml:space="preserve"> Equipment (PPE) in accordance with workplace health and safety requirements </w:t>
            </w:r>
          </w:p>
        </w:tc>
      </w:tr>
      <w:tr w:rsidTr="0037542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13.</w:t>
            </w:r>
            <w:r w:rsidRPr="006E1AAA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AA" w:rsidP="006E1AAA">
            <w:pPr>
              <w:pStyle w:val="List"/>
            </w:pPr>
            <w:r w:rsidRPr="006E1AAA">
              <w:t>13.1</w:t>
            </w:r>
            <w:r w:rsidRPr="006E1AAA">
              <w:tab/>
              <w:t>Identify tissue necessary for determining dispositions and/or routine testing</w:t>
            </w:r>
          </w:p>
          <w:p w:rsidR="00000000" w:rsidRPr="006E1AAA" w:rsidP="006E1AAA">
            <w:pPr>
              <w:pStyle w:val="List"/>
            </w:pPr>
            <w:r w:rsidRPr="006E1AAA">
              <w:t>13.2</w:t>
            </w:r>
            <w:r w:rsidRPr="006E1AAA">
              <w:tab/>
              <w:t>Collect a</w:t>
            </w:r>
            <w:r w:rsidRPr="006E1AAA">
              <w:t>nd submit specimens according to workplace procedures</w:t>
            </w:r>
          </w:p>
          <w:p w:rsidR="00000000" w:rsidRPr="006E1AAA" w:rsidP="006E1AAA">
            <w:pPr>
              <w:pStyle w:val="List"/>
            </w:pPr>
            <w:r w:rsidRPr="006E1AAA">
              <w:t>13.3</w:t>
            </w:r>
            <w:r w:rsidRPr="006E1AAA">
              <w:tab/>
              <w:t xml:space="preserve">Interpret results </w:t>
            </w:r>
          </w:p>
          <w:p w:rsidR="00000000" w:rsidRPr="006E1AAA" w:rsidP="006E1AAA">
            <w:pPr>
              <w:pStyle w:val="List"/>
            </w:pPr>
            <w:r w:rsidRPr="006E1AAA">
              <w:t>13.4</w:t>
            </w:r>
            <w:r w:rsidRPr="006E1AAA">
              <w:tab/>
              <w:t>Retain carcases awaiting results according to workplace procedures</w:t>
            </w:r>
          </w:p>
        </w:tc>
      </w:tr>
    </w:tbl>
    <w:p w:rsidR="00000000" w:rsidRPr="006E1AAA" w:rsidP="006E1AAA">
      <w:pPr>
        <w:pStyle w:val="BodyText"/>
      </w:pPr>
    </w:p>
    <w:p w:rsidR="00000000" w:rsidRPr="006E1AAA" w:rsidP="006E1AAA">
      <w:pPr>
        <w:pStyle w:val="AllowPageBreak"/>
      </w:pPr>
    </w:p>
    <w:p w:rsidR="00000000" w:rsidRPr="006E1AAA" w:rsidP="006E1AAA">
      <w:pPr>
        <w:pStyle w:val="Heading1"/>
      </w:pPr>
      <w:bookmarkStart w:id="6" w:name="O_898566"/>
      <w:bookmarkEnd w:id="6"/>
      <w:r w:rsidRPr="006E1AAA">
        <w:t>Foundation Skills</w:t>
      </w:r>
    </w:p>
    <w:p w:rsidR="00000000" w:rsidRPr="006E1AAA" w:rsidP="0037542E">
      <w:pPr>
        <w:pStyle w:val="BodyText"/>
      </w:pPr>
      <w:r w:rsidRPr="006E1AAA">
        <w:t>Foundation Skills essential to performance are explicit in the performance criteria of this unit of competency.</w:t>
      </w:r>
    </w:p>
    <w:p w:rsidR="00000000" w:rsidRPr="006E1AAA" w:rsidP="006E1AAA">
      <w:pPr>
        <w:pStyle w:val="Heading1"/>
      </w:pPr>
      <w:bookmarkStart w:id="7" w:name="O_898567"/>
      <w:bookmarkEnd w:id="7"/>
      <w:r w:rsidRPr="006E1AAA">
        <w:t>Range of Conditions</w:t>
      </w:r>
    </w:p>
    <w:p w:rsidR="00000000" w:rsidRPr="006E1AAA" w:rsidP="006E1AAA">
      <w:pPr>
        <w:pStyle w:val="Heading1"/>
      </w:pPr>
      <w:bookmarkStart w:id="8" w:name="O_898568"/>
      <w:bookmarkEnd w:id="8"/>
      <w:r w:rsidRPr="006E1AAA">
        <w:t>Unit Mapping Information</w:t>
      </w:r>
    </w:p>
    <w:p w:rsidR="00000000" w:rsidRPr="006E1AAA" w:rsidP="0037542E">
      <w:pPr>
        <w:pStyle w:val="BodyText"/>
      </w:pPr>
      <w:r w:rsidRPr="006E1AAA">
        <w:t>New unit - no equivalent unit.</w:t>
      </w:r>
    </w:p>
    <w:p w:rsidR="00000000" w:rsidRPr="006E1AAA" w:rsidP="006E1AAA">
      <w:pPr>
        <w:pStyle w:val="Heading1"/>
      </w:pPr>
      <w:bookmarkStart w:id="9" w:name="O_898575"/>
      <w:bookmarkEnd w:id="9"/>
      <w:r w:rsidRPr="006E1AAA">
        <w:t>Links</w:t>
      </w:r>
    </w:p>
    <w:p w:rsidR="00000000" w:rsidRPr="006E1AAA" w:rsidP="0037542E">
      <w:pPr>
        <w:pStyle w:val="BodyText"/>
      </w:pPr>
      <w:r w:rsidRPr="006E1AAA">
        <w:t>Companion Vo</w:t>
      </w:r>
      <w:r w:rsidRPr="006E1AAA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E52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1AAA" w:rsidP="006E1AAA"/>
    <w:sectPr w:rsidSect="006E1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A" w:rsidRPr="0037542E" w:rsidP="00375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2E" w:rsidP="006E1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542E" w:rsidP="006E1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542E" w:rsidP="006E1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AAA" w:rsidRPr="0037542E" w:rsidP="00375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2E" w:rsidRPr="002D2AF8" w:rsidP="006E1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AMPA3135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7542E" w:rsidP="006E1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AAA"/>
  </w:style>
  <w:style w:type="character" w:customStyle="1" w:styleId="Heading1Char">
    <w:name w:val="Heading 1 Char"/>
    <w:basedOn w:val="DefaultParagraphFont"/>
    <w:link w:val="Heading1"/>
    <w:rsid w:val="006E1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A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E1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1A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1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A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E1A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1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AAA"/>
    <w:rPr>
      <w:b/>
      <w:spacing w:val="0"/>
    </w:rPr>
  </w:style>
  <w:style w:type="paragraph" w:customStyle="1" w:styleId="SuperTitle">
    <w:name w:val="SuperTitle"/>
    <w:basedOn w:val="Title"/>
    <w:rsid w:val="006E1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A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AAA"/>
    <w:rPr>
      <w:i/>
    </w:rPr>
  </w:style>
  <w:style w:type="paragraph" w:styleId="Caption">
    <w:name w:val="caption"/>
    <w:basedOn w:val="BodyText"/>
    <w:next w:val="Normal"/>
    <w:qFormat/>
    <w:rsid w:val="006E1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AAA"/>
  </w:style>
  <w:style w:type="paragraph" w:styleId="TableofFigures">
    <w:name w:val="table of figures"/>
    <w:basedOn w:val="Normal"/>
    <w:next w:val="Normal"/>
    <w:semiHidden/>
    <w:rsid w:val="006E1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A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1AAA"/>
    <w:rPr>
      <w:rFonts w:ascii="Wingdings" w:hAnsi="Wingdings"/>
    </w:rPr>
  </w:style>
  <w:style w:type="character" w:customStyle="1" w:styleId="HotSpot">
    <w:name w:val="HotSpot"/>
    <w:rsid w:val="006E1AAA"/>
    <w:rPr>
      <w:color w:val="0033CC"/>
      <w:u w:val="none"/>
    </w:rPr>
  </w:style>
  <w:style w:type="paragraph" w:customStyle="1" w:styleId="BodyTextRight">
    <w:name w:val="Body Text Right"/>
    <w:basedOn w:val="BodyText"/>
    <w:rsid w:val="006E1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A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AAA"/>
    <w:rPr>
      <w:sz w:val="32"/>
    </w:rPr>
  </w:style>
  <w:style w:type="paragraph" w:customStyle="1" w:styleId="HeadingProcedure">
    <w:name w:val="Heading Procedure"/>
    <w:basedOn w:val="HeadingBase"/>
    <w:next w:val="Normal"/>
    <w:rsid w:val="006E1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AAA"/>
    <w:pPr>
      <w:spacing w:before="60" w:after="60"/>
    </w:pPr>
  </w:style>
  <w:style w:type="paragraph" w:styleId="ListContinue">
    <w:name w:val="List Continue"/>
    <w:basedOn w:val="List"/>
    <w:rsid w:val="006E1AAA"/>
    <w:pPr>
      <w:ind w:firstLine="0"/>
    </w:pPr>
  </w:style>
  <w:style w:type="paragraph" w:customStyle="1" w:styleId="ListNote">
    <w:name w:val="List Note"/>
    <w:basedOn w:val="List"/>
    <w:rsid w:val="006E1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AAA"/>
    <w:rPr>
      <w:rFonts w:ascii="Courier New" w:hAnsi="Courier New"/>
    </w:rPr>
  </w:style>
  <w:style w:type="paragraph" w:customStyle="1" w:styleId="NoteBullet">
    <w:name w:val="Note Bullet"/>
    <w:basedOn w:val="Note"/>
    <w:rsid w:val="006E1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A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1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AAA"/>
    <w:rPr>
      <w:b/>
      <w:smallCaps/>
    </w:rPr>
  </w:style>
  <w:style w:type="paragraph" w:customStyle="1" w:styleId="TableListNumber">
    <w:name w:val="Table List Number"/>
    <w:basedOn w:val="ListNumber"/>
    <w:rsid w:val="006E1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AAA"/>
    <w:pPr>
      <w:numPr>
        <w:numId w:val="7"/>
      </w:numPr>
    </w:pPr>
  </w:style>
  <w:style w:type="paragraph" w:customStyle="1" w:styleId="ListAlpha2">
    <w:name w:val="List Alpha 2"/>
    <w:basedOn w:val="List2"/>
    <w:rsid w:val="006E1AAA"/>
    <w:pPr>
      <w:numPr>
        <w:numId w:val="6"/>
      </w:numPr>
    </w:pPr>
  </w:style>
  <w:style w:type="paragraph" w:styleId="List2">
    <w:name w:val="List 2"/>
    <w:basedOn w:val="BodyText"/>
    <w:rsid w:val="006E1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A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A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1AAA"/>
    <w:pPr>
      <w:numPr>
        <w:numId w:val="2"/>
      </w:numPr>
    </w:pPr>
  </w:style>
  <w:style w:type="paragraph" w:styleId="ListContinue2">
    <w:name w:val="List Continue 2"/>
    <w:basedOn w:val="List2"/>
    <w:rsid w:val="006E1AAA"/>
    <w:pPr>
      <w:ind w:firstLine="0"/>
    </w:pPr>
  </w:style>
  <w:style w:type="paragraph" w:styleId="ListContinue3">
    <w:name w:val="List Continue 3"/>
    <w:basedOn w:val="List3"/>
    <w:rsid w:val="006E1AAA"/>
    <w:pPr>
      <w:ind w:left="1021" w:firstLine="0"/>
    </w:pPr>
  </w:style>
  <w:style w:type="paragraph" w:styleId="ListContinue4">
    <w:name w:val="List Continue 4"/>
    <w:basedOn w:val="List4"/>
    <w:rsid w:val="006E1AAA"/>
    <w:pPr>
      <w:ind w:firstLine="0"/>
    </w:pPr>
  </w:style>
  <w:style w:type="paragraph" w:styleId="ListContinue5">
    <w:name w:val="List Continue 5"/>
    <w:basedOn w:val="List5"/>
    <w:rsid w:val="006E1AAA"/>
    <w:pPr>
      <w:ind w:firstLine="0"/>
    </w:pPr>
  </w:style>
  <w:style w:type="paragraph" w:styleId="ListNumber3">
    <w:name w:val="List Number 3"/>
    <w:basedOn w:val="List3"/>
    <w:rsid w:val="006E1AAA"/>
    <w:pPr>
      <w:numPr>
        <w:numId w:val="3"/>
      </w:numPr>
    </w:pPr>
  </w:style>
  <w:style w:type="paragraph" w:styleId="ListNumber4">
    <w:name w:val="List Number 4"/>
    <w:basedOn w:val="List4"/>
    <w:rsid w:val="006E1AAA"/>
    <w:pPr>
      <w:numPr>
        <w:numId w:val="4"/>
      </w:numPr>
    </w:pPr>
  </w:style>
  <w:style w:type="paragraph" w:styleId="ListNumber5">
    <w:name w:val="List Number 5"/>
    <w:basedOn w:val="List5"/>
    <w:rsid w:val="006E1AAA"/>
    <w:pPr>
      <w:numPr>
        <w:numId w:val="5"/>
      </w:numPr>
    </w:pPr>
  </w:style>
  <w:style w:type="paragraph" w:styleId="BlockText">
    <w:name w:val="Block Text"/>
    <w:basedOn w:val="Normal"/>
    <w:rsid w:val="006E1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AAA"/>
    <w:rPr>
      <w:sz w:val="16"/>
      <w:vertAlign w:val="superscript"/>
    </w:rPr>
  </w:style>
  <w:style w:type="character" w:customStyle="1" w:styleId="Symbols">
    <w:name w:val="Symbols"/>
    <w:basedOn w:val="DefaultParagraphFont"/>
    <w:rsid w:val="006E1AAA"/>
    <w:rPr>
      <w:rFonts w:ascii="Symbol" w:hAnsi="Symbol"/>
    </w:rPr>
  </w:style>
  <w:style w:type="character" w:customStyle="1" w:styleId="MenuOptions">
    <w:name w:val="Menu Options"/>
    <w:basedOn w:val="DefaultParagraphFont"/>
    <w:rsid w:val="006E1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AAA"/>
    <w:rPr>
      <w:b/>
    </w:rPr>
  </w:style>
  <w:style w:type="character" w:customStyle="1" w:styleId="Underlined">
    <w:name w:val="Underlined"/>
    <w:basedOn w:val="DefaultParagraphFont"/>
    <w:rsid w:val="006E1AAA"/>
    <w:rPr>
      <w:u w:val="single"/>
    </w:rPr>
  </w:style>
  <w:style w:type="paragraph" w:customStyle="1" w:styleId="TableBodyTextRight">
    <w:name w:val="Table Body Text Right"/>
    <w:basedOn w:val="TableBodyText"/>
    <w:rsid w:val="006E1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AAA"/>
    <w:rPr>
      <w:sz w:val="18"/>
    </w:rPr>
  </w:style>
  <w:style w:type="paragraph" w:customStyle="1" w:styleId="BodySmallRight">
    <w:name w:val="Body Small Right"/>
    <w:basedOn w:val="BodyTextRight"/>
    <w:rsid w:val="006E1AAA"/>
    <w:rPr>
      <w:sz w:val="18"/>
      <w:szCs w:val="18"/>
    </w:rPr>
  </w:style>
  <w:style w:type="paragraph" w:customStyle="1" w:styleId="MarginEdition">
    <w:name w:val="Margin Edition"/>
    <w:basedOn w:val="MarginNote"/>
    <w:rsid w:val="006E1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AAA"/>
    <w:rPr>
      <w:sz w:val="2"/>
      <w:szCs w:val="2"/>
    </w:rPr>
  </w:style>
  <w:style w:type="character" w:customStyle="1" w:styleId="Small">
    <w:name w:val="Small"/>
    <w:basedOn w:val="DefaultParagraphFont"/>
    <w:rsid w:val="006E1AAA"/>
    <w:rPr>
      <w:sz w:val="16"/>
    </w:rPr>
  </w:style>
  <w:style w:type="paragraph" w:customStyle="1" w:styleId="WideTable">
    <w:name w:val="Wide Table"/>
    <w:basedOn w:val="Normal"/>
    <w:rsid w:val="006E1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AAA"/>
  </w:style>
  <w:style w:type="paragraph" w:styleId="Quote">
    <w:name w:val="Quote"/>
    <w:basedOn w:val="Heading1"/>
    <w:link w:val="QuoteChar"/>
    <w:qFormat/>
    <w:rsid w:val="006E1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AAA"/>
    <w:pPr>
      <w:pageBreakBefore/>
    </w:pPr>
  </w:style>
  <w:style w:type="paragraph" w:customStyle="1" w:styleId="Border">
    <w:name w:val="Border"/>
    <w:basedOn w:val="Normal"/>
    <w:qFormat/>
    <w:rsid w:val="006E1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AAA"/>
    <w:rPr>
      <w:u w:val="single"/>
    </w:rPr>
  </w:style>
  <w:style w:type="character" w:customStyle="1" w:styleId="BoldandItalics">
    <w:name w:val="Bold and Italics"/>
    <w:qFormat/>
    <w:rsid w:val="006E1AAA"/>
    <w:rPr>
      <w:b/>
      <w:i/>
      <w:u w:val="none"/>
    </w:rPr>
  </w:style>
  <w:style w:type="paragraph" w:styleId="BalloonText">
    <w:name w:val="Balloon Text"/>
    <w:basedOn w:val="Normal"/>
    <w:link w:val="BalloonTextChar"/>
    <w:rsid w:val="006E1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AAA"/>
    <w:pPr>
      <w:spacing w:before="0" w:after="0"/>
    </w:pPr>
  </w:style>
  <w:style w:type="paragraph" w:customStyle="1" w:styleId="BodyTextBold">
    <w:name w:val="Body Text Bold"/>
    <w:basedOn w:val="BodyText"/>
    <w:qFormat/>
    <w:rsid w:val="006E1AAA"/>
    <w:rPr>
      <w:b/>
    </w:rPr>
  </w:style>
  <w:style w:type="character" w:styleId="Hyperlink">
    <w:name w:val="Hyperlink"/>
    <w:basedOn w:val="DefaultParagraphFont"/>
    <w:uiPriority w:val="99"/>
    <w:unhideWhenUsed/>
    <w:rsid w:val="00375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787</Words>
  <Characters>5035</Characters>
  <Application>Microsoft Office Word</Application>
  <DocSecurity>0</DocSecurity>
  <Lines>186</Lines>
  <Paragraphs>100</Paragraphs>
  <ScaleCrop>false</ScaleCrop>
  <Company>Author-it Software Corporation Ltd.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AMPA3135 Perform ante and post-mortem inspection - Calves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2022-02-25T01:36:00Z</dcterms:created>
  <dcterms:modified xsi:type="dcterms:W3CDTF">2022-02-25T01:36:00Z</dcterms:modified>
</cp:coreProperties>
</file>