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EDC" w:rsidP="004B2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AMPA3131 Identify and report emergency diseases of food animals</w:t>
      </w:r>
      <w:r>
        <w:fldChar w:fldCharType="end"/>
      </w:r>
    </w:p>
    <w:p w:rsidR="004B2EDC" w:rsidP="004B2EDC">
      <w:pPr>
        <w:pStyle w:val="Version"/>
        <w:sectPr w:rsidSect="00326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26C2A" w:rsidP="00326C2A">
      <w:pPr>
        <w:pStyle w:val="SuperHeading"/>
      </w:pPr>
      <w:r w:rsidRPr="00326C2A">
        <w:t>AMPA3131 Ident</w:t>
      </w:r>
      <w:r w:rsidRPr="00326C2A">
        <w:t>ify and report emergency diseases of food animals</w:t>
      </w:r>
    </w:p>
    <w:p w:rsidR="00000000" w:rsidRPr="00326C2A" w:rsidP="00326C2A">
      <w:pPr>
        <w:pStyle w:val="Heading1"/>
      </w:pPr>
      <w:bookmarkStart w:id="1" w:name="O_1142171"/>
      <w:bookmarkEnd w:id="1"/>
      <w:r w:rsidRPr="00326C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Comments</w:t>
            </w:r>
          </w:p>
        </w:tc>
      </w:tr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This version released with AMP Australian Meat Processing Training Package Version 5.0.</w:t>
            </w:r>
          </w:p>
        </w:tc>
      </w:tr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This version released with AMP Australian Meat Processing Training Package Version 3.0.</w:t>
            </w:r>
          </w:p>
        </w:tc>
      </w:tr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C2A" w:rsidP="00326C2A">
            <w:pPr>
              <w:pStyle w:val="BodyText"/>
            </w:pPr>
            <w:r w:rsidRPr="00326C2A">
              <w:t>This version released with AMP Australian Meat Processing Training Package Version 2.0.</w:t>
            </w:r>
          </w:p>
        </w:tc>
      </w:tr>
    </w:tbl>
    <w:p w:rsidR="00000000" w:rsidRPr="00326C2A" w:rsidP="00326C2A">
      <w:pPr>
        <w:pStyle w:val="BodyText"/>
      </w:pPr>
    </w:p>
    <w:p w:rsidR="00000000" w:rsidRPr="00326C2A" w:rsidP="00326C2A">
      <w:pPr>
        <w:pStyle w:val="AllowPageBreak"/>
      </w:pPr>
    </w:p>
    <w:p w:rsidR="00000000" w:rsidRPr="00326C2A" w:rsidP="00326C2A">
      <w:pPr>
        <w:pStyle w:val="Heading1"/>
      </w:pPr>
      <w:bookmarkStart w:id="2" w:name="O_1142170"/>
      <w:bookmarkEnd w:id="2"/>
      <w:r w:rsidRPr="00326C2A">
        <w:t>Application</w:t>
      </w:r>
    </w:p>
    <w:p w:rsidR="00000000" w:rsidRPr="00326C2A" w:rsidP="004B2EDC">
      <w:pPr>
        <w:pStyle w:val="BodyText"/>
      </w:pPr>
      <w:r w:rsidRPr="00326C2A">
        <w:t>This unit covers the skills and know</w:t>
      </w:r>
      <w:r w:rsidRPr="00326C2A">
        <w:t>ledge required to recognise the symptoms of emergency diseases and conditions as might be seen during the performance of meat inspection procedures.</w:t>
      </w:r>
    </w:p>
    <w:p w:rsidR="00000000" w:rsidRPr="00326C2A" w:rsidP="004B2EDC">
      <w:pPr>
        <w:pStyle w:val="BodyText"/>
      </w:pPr>
      <w:r w:rsidRPr="00326C2A">
        <w:t xml:space="preserve">This unit is suitable for students undertaking meat safety (inspection) training and is a co-requisite for </w:t>
      </w:r>
      <w:r w:rsidRPr="00326C2A">
        <w:t>the post-mortem inspection and ante-mortem inspection Units in the Australian Meat Industry Training Package.</w:t>
      </w:r>
    </w:p>
    <w:p w:rsidR="00000000" w:rsidRPr="00326C2A" w:rsidP="004B2EDC">
      <w:pPr>
        <w:pStyle w:val="BodyText"/>
      </w:pPr>
      <w:r w:rsidRPr="00326C2A">
        <w:t>All work should be carried out to comply with workplace procedures, customer requirements and product specifications.</w:t>
      </w:r>
    </w:p>
    <w:p w:rsidR="00000000" w:rsidRPr="00326C2A" w:rsidP="004B2EDC">
      <w:pPr>
        <w:pStyle w:val="BodyText"/>
      </w:pPr>
      <w:r w:rsidRPr="00326C2A">
        <w:t>This unit applies to individ</w:t>
      </w:r>
      <w:r w:rsidRPr="00326C2A">
        <w:t>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326C2A" w:rsidP="004B2EDC">
      <w:pPr>
        <w:pStyle w:val="BodyText"/>
      </w:pPr>
      <w:r w:rsidRPr="00326C2A">
        <w:t>No licensing, legislative or certification requirements are known to apply to this unit at the time of publication.</w:t>
      </w:r>
    </w:p>
    <w:p w:rsidR="00000000" w:rsidRPr="00326C2A" w:rsidP="004B2EDC">
      <w:pPr>
        <w:pStyle w:val="BodyText"/>
      </w:pPr>
      <w:r w:rsidRPr="00326C2A">
        <w:t>This unit must be delivered and assessed in the context of Australian meat processing standards and regulations.</w:t>
      </w:r>
    </w:p>
    <w:p w:rsidR="00000000" w:rsidRPr="00326C2A" w:rsidP="004B2EDC">
      <w:pPr>
        <w:pStyle w:val="BodyText"/>
      </w:pPr>
      <w:r w:rsidRPr="00326C2A">
        <w:t>Competency should be reasse</w:t>
      </w:r>
      <w:r w:rsidRPr="00326C2A">
        <w:t>ssed every five years.</w:t>
      </w:r>
    </w:p>
    <w:p w:rsidR="00000000" w:rsidRPr="00326C2A" w:rsidP="00326C2A">
      <w:pPr>
        <w:pStyle w:val="Heading1"/>
      </w:pPr>
      <w:bookmarkStart w:id="3" w:name="O_1142169"/>
      <w:bookmarkEnd w:id="3"/>
      <w:r w:rsidRPr="00326C2A">
        <w:t>Pre-requisite Unit</w:t>
      </w:r>
    </w:p>
    <w:p w:rsidR="00000000" w:rsidRPr="00326C2A" w:rsidP="004B2EDC">
      <w:pPr>
        <w:pStyle w:val="BodyText"/>
      </w:pPr>
      <w:r w:rsidRPr="00326C2A">
        <w:t>Nil</w:t>
      </w:r>
    </w:p>
    <w:p w:rsidR="00000000" w:rsidRPr="00326C2A" w:rsidP="00326C2A">
      <w:pPr>
        <w:pStyle w:val="Heading1"/>
      </w:pPr>
      <w:bookmarkStart w:id="4" w:name="O_1142168"/>
      <w:bookmarkEnd w:id="4"/>
      <w:r w:rsidRPr="00326C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2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Performance Criteria</w:t>
            </w:r>
          </w:p>
        </w:tc>
      </w:tr>
      <w:tr w:rsidTr="004B2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C2A" w:rsidP="00326C2A">
            <w:pPr>
              <w:pStyle w:val="BodyText"/>
            </w:pPr>
            <w:r w:rsidRPr="00326C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rPr>
                <w:rStyle w:val="Emphasis"/>
              </w:rPr>
              <w:t>Performance criteria describe the performance needed to demonstra</w:t>
            </w:r>
            <w:r w:rsidRPr="00326C2A">
              <w:rPr>
                <w:rStyle w:val="Emphasis"/>
              </w:rPr>
              <w:t>te achievement of the element.</w:t>
            </w:r>
          </w:p>
        </w:tc>
      </w:tr>
      <w:tr w:rsidTr="004B2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1. Describe the symptoms of the major emergency diseases as they relate to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C2A" w:rsidP="00326C2A">
            <w:pPr>
              <w:pStyle w:val="BodyText"/>
            </w:pPr>
            <w:r w:rsidRPr="00326C2A">
              <w:t>1.1 Identify the major emergency diseases of food animals processed in Australia</w:t>
            </w:r>
          </w:p>
          <w:p w:rsidR="00000000" w:rsidRPr="00326C2A" w:rsidP="00326C2A">
            <w:pPr>
              <w:pStyle w:val="BodyText"/>
            </w:pPr>
            <w:r w:rsidRPr="00326C2A">
              <w:t>1.2 Describe the impact of emergency diseases on the meat industry</w:t>
            </w:r>
          </w:p>
          <w:p w:rsidR="00000000" w:rsidRPr="00326C2A" w:rsidP="00326C2A">
            <w:pPr>
              <w:pStyle w:val="BodyText"/>
            </w:pPr>
            <w:r w:rsidRPr="00326C2A">
              <w:t>1.3 Describe the symptoms of these major emergency diseases as they may be seen at ante-mortem</w:t>
            </w:r>
          </w:p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1.4 Describe the symptoms of these major emergency diseases as they may be seen at post-mortem</w:t>
            </w:r>
          </w:p>
        </w:tc>
      </w:tr>
      <w:tr w:rsidTr="004B2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2. Identify the reporting process for suspected emergency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C2A" w:rsidP="00326C2A">
            <w:pPr>
              <w:pStyle w:val="BodyText"/>
            </w:pPr>
            <w:r w:rsidRPr="00326C2A">
              <w:t>2.1 Explain the responsibilities for reporting emergency disease suspects as set out in the enterprise’s emergency disease preparedness plan</w:t>
            </w:r>
          </w:p>
          <w:p w:rsidR="00000000" w:rsidRPr="00326C2A" w:rsidP="00326C2A">
            <w:pPr>
              <w:pStyle w:val="BodyText"/>
            </w:pPr>
            <w:r w:rsidRPr="00326C2A">
              <w:t>2.2 Describe a meat processing enterprise’s re</w:t>
            </w:r>
            <w:r w:rsidRPr="00326C2A">
              <w:t>sponsibilities after reporting a suspected emergency disease outbreak</w:t>
            </w:r>
          </w:p>
          <w:p w:rsidR="00000000" w:rsidRPr="00326C2A" w:rsidP="00326C2A">
            <w:pPr>
              <w:pStyle w:val="BodyText"/>
            </w:pPr>
            <w:r w:rsidRPr="00326C2A">
              <w:t>2.3 Explain the role of AUSVET Plan in controlling emergency diseases</w:t>
            </w:r>
          </w:p>
          <w:p w:rsidR="00000000" w:rsidRPr="00326C2A" w:rsidP="00326C2A">
            <w:pPr>
              <w:pStyle w:val="BodyText"/>
            </w:pPr>
            <w:r w:rsidRPr="00326C2A">
              <w:t>2.4 Describe the potential impact of emergency diseases on the livestock and meat industry</w:t>
            </w:r>
          </w:p>
        </w:tc>
      </w:tr>
    </w:tbl>
    <w:p w:rsidR="00000000" w:rsidRPr="00326C2A" w:rsidP="00326C2A">
      <w:pPr>
        <w:pStyle w:val="BodyText"/>
      </w:pPr>
    </w:p>
    <w:p w:rsidR="00000000" w:rsidRPr="00326C2A" w:rsidP="00326C2A">
      <w:pPr>
        <w:pStyle w:val="AllowPageBreak"/>
      </w:pPr>
    </w:p>
    <w:p w:rsidR="00000000" w:rsidRPr="00326C2A" w:rsidP="00326C2A">
      <w:pPr>
        <w:pStyle w:val="Heading1"/>
      </w:pPr>
      <w:bookmarkStart w:id="5" w:name="O_1142167"/>
      <w:bookmarkEnd w:id="5"/>
      <w:r w:rsidRPr="00326C2A">
        <w:t>Foun</w:t>
      </w:r>
      <w:r w:rsidRPr="00326C2A">
        <w:t>dation Skills</w:t>
      </w:r>
    </w:p>
    <w:p w:rsidR="00000000" w:rsidRPr="004B2EDC" w:rsidP="004B2EDC">
      <w:pPr>
        <w:pStyle w:val="BodyText"/>
        <w:rPr>
          <w:i/>
        </w:rPr>
      </w:pPr>
      <w:r w:rsidRPr="004B2ED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Description</w:t>
            </w:r>
          </w:p>
        </w:tc>
      </w:tr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C2A" w:rsidP="00326C2A">
            <w:pPr>
              <w:pStyle w:val="BodyText"/>
            </w:pPr>
            <w:r w:rsidRPr="00326C2A">
              <w:t>Foundation Skills essential to performance are explicit in the performance criteria of this unit of competency.</w:t>
            </w:r>
          </w:p>
        </w:tc>
      </w:tr>
    </w:tbl>
    <w:p w:rsidR="00000000" w:rsidRPr="00326C2A" w:rsidP="00326C2A">
      <w:pPr>
        <w:pStyle w:val="BodyText"/>
      </w:pPr>
    </w:p>
    <w:p w:rsidR="00000000" w:rsidRPr="00326C2A" w:rsidP="00326C2A">
      <w:pPr>
        <w:pStyle w:val="AllowPageBreak"/>
      </w:pPr>
    </w:p>
    <w:p w:rsidR="00000000" w:rsidRPr="00326C2A" w:rsidP="00326C2A">
      <w:pPr>
        <w:pStyle w:val="Heading1"/>
      </w:pPr>
      <w:bookmarkStart w:id="6" w:name="O_1142166"/>
      <w:bookmarkEnd w:id="6"/>
      <w:r w:rsidRPr="00326C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Bold"/>
              <w:rPr>
                <w:lang w:val="en-NZ"/>
              </w:rPr>
            </w:pPr>
            <w:r w:rsidRPr="00326C2A">
              <w:t>Equivalence status</w:t>
            </w:r>
          </w:p>
        </w:tc>
      </w:tr>
      <w:tr w:rsidTr="00326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AMPA3131 Identify and report emergency diseases of food animals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>AMPA3131 Identify and report emergency diseases of food animals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C2A">
            <w:pPr>
              <w:pStyle w:val="BodyText"/>
              <w:rPr>
                <w:lang w:val="en-NZ"/>
              </w:rPr>
            </w:pPr>
            <w:r w:rsidRPr="00326C2A">
              <w:t xml:space="preserve">Adjustment made to Assessment conditions for clarity of intent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C2A" w:rsidP="00326C2A">
            <w:pPr>
              <w:pStyle w:val="BodyText"/>
            </w:pPr>
            <w:r w:rsidRPr="00326C2A">
              <w:t xml:space="preserve">Equivalent </w:t>
            </w:r>
          </w:p>
        </w:tc>
      </w:tr>
    </w:tbl>
    <w:p w:rsidR="00000000" w:rsidRPr="00326C2A" w:rsidP="00326C2A">
      <w:pPr>
        <w:pStyle w:val="BodyText"/>
      </w:pPr>
    </w:p>
    <w:p w:rsidR="00000000" w:rsidRPr="00326C2A" w:rsidP="00326C2A">
      <w:pPr>
        <w:pStyle w:val="AllowPageBreak"/>
      </w:pPr>
    </w:p>
    <w:p w:rsidR="00000000" w:rsidRPr="00326C2A" w:rsidP="00326C2A">
      <w:pPr>
        <w:pStyle w:val="Heading1"/>
      </w:pPr>
      <w:bookmarkStart w:id="7" w:name="O_1142172"/>
      <w:bookmarkEnd w:id="7"/>
      <w:r w:rsidRPr="00326C2A">
        <w:t>Links</w:t>
      </w:r>
    </w:p>
    <w:p w:rsidR="00000000" w:rsidRPr="00326C2A" w:rsidP="004B2EDC">
      <w:pPr>
        <w:pStyle w:val="BodyText"/>
      </w:pPr>
      <w:r w:rsidRPr="00326C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16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6C2A" w:rsidP="00326C2A"/>
    <w:sectPr w:rsidSect="00326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2A" w:rsidRPr="004B2EDC" w:rsidP="004B2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DC" w:rsidP="00326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EDC" w:rsidP="00326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2EDC" w:rsidP="00326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C2A" w:rsidRPr="004B2EDC" w:rsidP="004B2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DC" w:rsidRPr="002D2AF8" w:rsidP="00326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AMPA3131 Identify and report emergency diseases of food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B2EDC" w:rsidP="00326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C2A"/>
  </w:style>
  <w:style w:type="character" w:customStyle="1" w:styleId="Heading1Char">
    <w:name w:val="Heading 1 Char"/>
    <w:basedOn w:val="DefaultParagraphFont"/>
    <w:link w:val="Heading1"/>
    <w:rsid w:val="00326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C2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26C2A"/>
    <w:rPr>
      <w:i/>
    </w:rPr>
  </w:style>
  <w:style w:type="paragraph" w:customStyle="1" w:styleId="SuperHeading">
    <w:name w:val="SuperHeading"/>
    <w:basedOn w:val="Normal"/>
    <w:rsid w:val="00326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6C2A"/>
    <w:rPr>
      <w:b/>
    </w:rPr>
  </w:style>
  <w:style w:type="character" w:customStyle="1" w:styleId="Heading2Char">
    <w:name w:val="Heading 2 Char"/>
    <w:basedOn w:val="DefaultParagraphFont"/>
    <w:link w:val="Heading2"/>
    <w:rsid w:val="00326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C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6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C2A"/>
    <w:rPr>
      <w:b/>
      <w:spacing w:val="0"/>
    </w:rPr>
  </w:style>
  <w:style w:type="paragraph" w:customStyle="1" w:styleId="SuperTitle">
    <w:name w:val="SuperTitle"/>
    <w:basedOn w:val="Title"/>
    <w:rsid w:val="00326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C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C2A"/>
  </w:style>
  <w:style w:type="paragraph" w:styleId="TableofFigures">
    <w:name w:val="table of figures"/>
    <w:basedOn w:val="Normal"/>
    <w:next w:val="Normal"/>
    <w:semiHidden/>
    <w:rsid w:val="00326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C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6C2A"/>
    <w:rPr>
      <w:rFonts w:ascii="Wingdings" w:hAnsi="Wingdings"/>
    </w:rPr>
  </w:style>
  <w:style w:type="paragraph" w:customStyle="1" w:styleId="TableHeading">
    <w:name w:val="Table Heading"/>
    <w:basedOn w:val="HeadingBase"/>
    <w:rsid w:val="00326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C2A"/>
    <w:rPr>
      <w:color w:val="0033CC"/>
      <w:u w:val="none"/>
    </w:rPr>
  </w:style>
  <w:style w:type="paragraph" w:customStyle="1" w:styleId="BodyTextRight">
    <w:name w:val="Body Text Right"/>
    <w:basedOn w:val="BodyText"/>
    <w:rsid w:val="00326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C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C2A"/>
    <w:rPr>
      <w:sz w:val="32"/>
    </w:rPr>
  </w:style>
  <w:style w:type="paragraph" w:customStyle="1" w:styleId="HeadingProcedure">
    <w:name w:val="Heading Procedure"/>
    <w:basedOn w:val="HeadingBase"/>
    <w:next w:val="Normal"/>
    <w:rsid w:val="00326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C2A"/>
    <w:pPr>
      <w:spacing w:before="60" w:after="60"/>
    </w:pPr>
  </w:style>
  <w:style w:type="paragraph" w:styleId="ListContinue">
    <w:name w:val="List Continue"/>
    <w:basedOn w:val="List"/>
    <w:rsid w:val="00326C2A"/>
    <w:pPr>
      <w:ind w:firstLine="0"/>
    </w:pPr>
  </w:style>
  <w:style w:type="paragraph" w:customStyle="1" w:styleId="ListNote">
    <w:name w:val="List Note"/>
    <w:basedOn w:val="List"/>
    <w:rsid w:val="00326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C2A"/>
    <w:rPr>
      <w:rFonts w:ascii="Courier New" w:hAnsi="Courier New"/>
    </w:rPr>
  </w:style>
  <w:style w:type="paragraph" w:customStyle="1" w:styleId="NoteBullet">
    <w:name w:val="Note Bullet"/>
    <w:basedOn w:val="Note"/>
    <w:rsid w:val="00326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C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6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C2A"/>
    <w:rPr>
      <w:b/>
      <w:smallCaps/>
    </w:rPr>
  </w:style>
  <w:style w:type="paragraph" w:customStyle="1" w:styleId="TableListNumber">
    <w:name w:val="Table List Number"/>
    <w:basedOn w:val="ListNumber"/>
    <w:rsid w:val="00326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C2A"/>
    <w:pPr>
      <w:numPr>
        <w:numId w:val="7"/>
      </w:numPr>
    </w:pPr>
  </w:style>
  <w:style w:type="paragraph" w:customStyle="1" w:styleId="ListAlpha2">
    <w:name w:val="List Alpha 2"/>
    <w:basedOn w:val="List2"/>
    <w:rsid w:val="00326C2A"/>
    <w:pPr>
      <w:numPr>
        <w:numId w:val="6"/>
      </w:numPr>
    </w:pPr>
  </w:style>
  <w:style w:type="paragraph" w:styleId="List2">
    <w:name w:val="List 2"/>
    <w:basedOn w:val="BodyText"/>
    <w:rsid w:val="00326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C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C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6C2A"/>
    <w:pPr>
      <w:numPr>
        <w:numId w:val="2"/>
      </w:numPr>
    </w:pPr>
  </w:style>
  <w:style w:type="paragraph" w:styleId="ListContinue2">
    <w:name w:val="List Continue 2"/>
    <w:basedOn w:val="List2"/>
    <w:rsid w:val="00326C2A"/>
    <w:pPr>
      <w:ind w:firstLine="0"/>
    </w:pPr>
  </w:style>
  <w:style w:type="paragraph" w:styleId="ListContinue3">
    <w:name w:val="List Continue 3"/>
    <w:basedOn w:val="List3"/>
    <w:rsid w:val="00326C2A"/>
    <w:pPr>
      <w:ind w:left="1021" w:firstLine="0"/>
    </w:pPr>
  </w:style>
  <w:style w:type="paragraph" w:styleId="ListContinue4">
    <w:name w:val="List Continue 4"/>
    <w:basedOn w:val="List4"/>
    <w:rsid w:val="00326C2A"/>
    <w:pPr>
      <w:ind w:firstLine="0"/>
    </w:pPr>
  </w:style>
  <w:style w:type="paragraph" w:styleId="ListContinue5">
    <w:name w:val="List Continue 5"/>
    <w:basedOn w:val="List5"/>
    <w:rsid w:val="00326C2A"/>
    <w:pPr>
      <w:ind w:firstLine="0"/>
    </w:pPr>
  </w:style>
  <w:style w:type="paragraph" w:styleId="ListNumber3">
    <w:name w:val="List Number 3"/>
    <w:basedOn w:val="List3"/>
    <w:rsid w:val="00326C2A"/>
    <w:pPr>
      <w:numPr>
        <w:numId w:val="3"/>
      </w:numPr>
    </w:pPr>
  </w:style>
  <w:style w:type="paragraph" w:styleId="ListNumber4">
    <w:name w:val="List Number 4"/>
    <w:basedOn w:val="List4"/>
    <w:rsid w:val="00326C2A"/>
    <w:pPr>
      <w:numPr>
        <w:numId w:val="4"/>
      </w:numPr>
    </w:pPr>
  </w:style>
  <w:style w:type="paragraph" w:styleId="ListNumber5">
    <w:name w:val="List Number 5"/>
    <w:basedOn w:val="List5"/>
    <w:rsid w:val="00326C2A"/>
    <w:pPr>
      <w:numPr>
        <w:numId w:val="5"/>
      </w:numPr>
    </w:pPr>
  </w:style>
  <w:style w:type="paragraph" w:styleId="BlockText">
    <w:name w:val="Block Text"/>
    <w:basedOn w:val="Normal"/>
    <w:rsid w:val="00326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C2A"/>
    <w:rPr>
      <w:sz w:val="16"/>
      <w:vertAlign w:val="superscript"/>
    </w:rPr>
  </w:style>
  <w:style w:type="character" w:customStyle="1" w:styleId="Symbols">
    <w:name w:val="Symbols"/>
    <w:basedOn w:val="DefaultParagraphFont"/>
    <w:rsid w:val="00326C2A"/>
    <w:rPr>
      <w:rFonts w:ascii="Symbol" w:hAnsi="Symbol"/>
    </w:rPr>
  </w:style>
  <w:style w:type="character" w:customStyle="1" w:styleId="MenuOptions">
    <w:name w:val="Menu Options"/>
    <w:basedOn w:val="DefaultParagraphFont"/>
    <w:rsid w:val="00326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C2A"/>
    <w:rPr>
      <w:b/>
    </w:rPr>
  </w:style>
  <w:style w:type="character" w:customStyle="1" w:styleId="Underlined">
    <w:name w:val="Underlined"/>
    <w:basedOn w:val="DefaultParagraphFont"/>
    <w:rsid w:val="00326C2A"/>
    <w:rPr>
      <w:u w:val="single"/>
    </w:rPr>
  </w:style>
  <w:style w:type="paragraph" w:customStyle="1" w:styleId="TableBodyTextRight">
    <w:name w:val="Table Body Text Right"/>
    <w:basedOn w:val="TableBodyText"/>
    <w:rsid w:val="00326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C2A"/>
    <w:rPr>
      <w:sz w:val="18"/>
    </w:rPr>
  </w:style>
  <w:style w:type="paragraph" w:customStyle="1" w:styleId="BodySmallRight">
    <w:name w:val="Body Small Right"/>
    <w:basedOn w:val="BodyTextRight"/>
    <w:rsid w:val="00326C2A"/>
    <w:rPr>
      <w:sz w:val="18"/>
      <w:szCs w:val="18"/>
    </w:rPr>
  </w:style>
  <w:style w:type="paragraph" w:customStyle="1" w:styleId="MarginEdition">
    <w:name w:val="Margin Edition"/>
    <w:basedOn w:val="MarginNote"/>
    <w:rsid w:val="00326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C2A"/>
    <w:rPr>
      <w:sz w:val="2"/>
      <w:szCs w:val="2"/>
    </w:rPr>
  </w:style>
  <w:style w:type="character" w:customStyle="1" w:styleId="Small">
    <w:name w:val="Small"/>
    <w:basedOn w:val="DefaultParagraphFont"/>
    <w:rsid w:val="00326C2A"/>
    <w:rPr>
      <w:sz w:val="16"/>
    </w:rPr>
  </w:style>
  <w:style w:type="paragraph" w:customStyle="1" w:styleId="WideTable">
    <w:name w:val="Wide Table"/>
    <w:basedOn w:val="Normal"/>
    <w:rsid w:val="00326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C2A"/>
  </w:style>
  <w:style w:type="paragraph" w:styleId="Quote">
    <w:name w:val="Quote"/>
    <w:basedOn w:val="Heading1"/>
    <w:link w:val="QuoteChar"/>
    <w:qFormat/>
    <w:rsid w:val="00326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C2A"/>
    <w:pPr>
      <w:pageBreakBefore/>
    </w:pPr>
  </w:style>
  <w:style w:type="paragraph" w:customStyle="1" w:styleId="Border">
    <w:name w:val="Border"/>
    <w:basedOn w:val="Normal"/>
    <w:qFormat/>
    <w:rsid w:val="00326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C2A"/>
    <w:rPr>
      <w:u w:val="single"/>
    </w:rPr>
  </w:style>
  <w:style w:type="character" w:customStyle="1" w:styleId="BoldandItalics">
    <w:name w:val="Bold and Italics"/>
    <w:qFormat/>
    <w:rsid w:val="00326C2A"/>
    <w:rPr>
      <w:b/>
      <w:i/>
      <w:u w:val="none"/>
    </w:rPr>
  </w:style>
  <w:style w:type="paragraph" w:styleId="BalloonText">
    <w:name w:val="Balloon Text"/>
    <w:basedOn w:val="Normal"/>
    <w:link w:val="BalloonTextChar"/>
    <w:rsid w:val="00326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C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2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3192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AMPA3131 Identify and report emergency diseases of food animals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