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61F" w:rsidP="00F33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AMPA3120 Perform ante and post-mortem inspection -  Ovine and Caprine</w:t>
      </w:r>
      <w:r>
        <w:fldChar w:fldCharType="end"/>
      </w:r>
    </w:p>
    <w:p w:rsidR="00F3361F" w:rsidP="00F3361F">
      <w:pPr>
        <w:pStyle w:val="Version"/>
        <w:sectPr w:rsidSect="009C1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230" w:rsidP="009C1230">
      <w:pPr>
        <w:pStyle w:val="SuperHeading"/>
      </w:pPr>
      <w:r w:rsidRPr="009C1230">
        <w:t>AMPA3120 Perform ante and post-mortem inspection -  Ovine and Caprine</w:t>
      </w:r>
    </w:p>
    <w:p w:rsidR="00000000" w:rsidRPr="009C1230" w:rsidP="009C1230">
      <w:pPr>
        <w:pStyle w:val="Heading1"/>
      </w:pPr>
      <w:bookmarkStart w:id="1" w:name="O_892401"/>
      <w:bookmarkEnd w:id="1"/>
      <w:r w:rsidRPr="009C1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1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TableHeading"/>
              <w:rPr>
                <w:lang w:val="en-NZ"/>
              </w:rPr>
            </w:pPr>
            <w:r w:rsidRPr="009C12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TableHeading"/>
              <w:rPr>
                <w:lang w:val="en-NZ"/>
              </w:rPr>
            </w:pPr>
            <w:r w:rsidRPr="009C12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TableHeading"/>
              <w:rPr>
                <w:lang w:val="en-NZ"/>
              </w:rPr>
            </w:pPr>
            <w:r w:rsidRPr="009C1230">
              <w:t>Comment</w:t>
            </w:r>
          </w:p>
        </w:tc>
      </w:tr>
      <w:tr w:rsidTr="009C1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BodyText"/>
              <w:rPr>
                <w:lang w:val="en-NZ"/>
              </w:rPr>
            </w:pPr>
            <w:r w:rsidRPr="009C12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BodyText"/>
              <w:rPr>
                <w:lang w:val="en-NZ"/>
              </w:rPr>
            </w:pPr>
            <w:r w:rsidRPr="009C12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BodyText"/>
            </w:pPr>
            <w:r w:rsidRPr="009C1230">
              <w:t>Initial release</w:t>
            </w:r>
          </w:p>
        </w:tc>
      </w:tr>
    </w:tbl>
    <w:p w:rsidR="00000000" w:rsidRPr="009C1230" w:rsidP="009C1230">
      <w:pPr>
        <w:pStyle w:val="BodyText"/>
      </w:pPr>
    </w:p>
    <w:p w:rsidR="00000000" w:rsidRPr="009C1230" w:rsidP="009C1230">
      <w:pPr>
        <w:pStyle w:val="AllowPageBreak"/>
      </w:pPr>
    </w:p>
    <w:p w:rsidR="00000000" w:rsidRPr="009C1230" w:rsidP="009C1230">
      <w:pPr>
        <w:pStyle w:val="Heading1"/>
      </w:pPr>
      <w:bookmarkStart w:id="2" w:name="O_892402"/>
      <w:bookmarkEnd w:id="2"/>
      <w:r w:rsidRPr="009C1230">
        <w:t>Application</w:t>
      </w:r>
    </w:p>
    <w:p w:rsidR="00000000" w:rsidRPr="009C1230" w:rsidP="00F3361F">
      <w:pPr>
        <w:pStyle w:val="BodyText"/>
      </w:pPr>
      <w:r w:rsidRPr="009C1230">
        <w:t>This unit describes the skills and knowledge required to perform ante-mortem and post mortem inspection duties on lambs, sheep and/or goats in an abattoir in accordance with the Australian Standard.</w:t>
      </w:r>
    </w:p>
    <w:p w:rsidR="00000000" w:rsidRPr="009C1230" w:rsidP="00F3361F">
      <w:pPr>
        <w:pStyle w:val="BodyText"/>
      </w:pPr>
      <w:r w:rsidRPr="009C1230">
        <w:t>This unit is applicable to those who seek employment and</w:t>
      </w:r>
      <w:r w:rsidRPr="009C1230">
        <w:t xml:space="preserve"> registration as a meat inspector in either the domestic or export processing sectors.</w:t>
      </w:r>
    </w:p>
    <w:p w:rsidR="00000000" w:rsidRPr="009C1230" w:rsidP="00F3361F">
      <w:pPr>
        <w:pStyle w:val="BodyText"/>
      </w:pPr>
      <w:r w:rsidRPr="009C1230">
        <w:t>All work should be carried out to comply with workplace procedures, customer requirements and product specifications.</w:t>
      </w:r>
    </w:p>
    <w:p w:rsidR="00000000" w:rsidRPr="009C1230" w:rsidP="00F3361F">
      <w:pPr>
        <w:pStyle w:val="BodyText"/>
      </w:pPr>
      <w:r w:rsidRPr="009C1230">
        <w:t>This unit applies to individuals who work under b</w:t>
      </w:r>
      <w:r w:rsidRPr="009C1230">
        <w:t>road direction and take responsibility for their own work including limited responsibility for the work of others. They provide and communicate solutions to a range of predictable problems.</w:t>
      </w:r>
    </w:p>
    <w:p w:rsidR="00000000" w:rsidRPr="009C1230" w:rsidP="00F3361F">
      <w:pPr>
        <w:pStyle w:val="BodyText"/>
      </w:pPr>
      <w:r w:rsidRPr="009C1230">
        <w:t>No occupational licensing, legislative or certification requireme</w:t>
      </w:r>
      <w:r w:rsidRPr="009C1230">
        <w:t>nts are known to apply to this unit at the time of publication.</w:t>
      </w:r>
    </w:p>
    <w:p w:rsidR="00000000" w:rsidRPr="009C1230" w:rsidP="00F3361F">
      <w:pPr>
        <w:pStyle w:val="BodyText"/>
      </w:pPr>
      <w:r w:rsidRPr="009C1230">
        <w:t>This unit must be delivered and assessed in the context of Australian meat processing standards and regulations.</w:t>
      </w:r>
    </w:p>
    <w:p w:rsidR="00000000" w:rsidRPr="009C1230" w:rsidP="009C1230">
      <w:pPr>
        <w:pStyle w:val="Heading1"/>
      </w:pPr>
      <w:bookmarkStart w:id="3" w:name="O_892403"/>
      <w:bookmarkEnd w:id="3"/>
      <w:r w:rsidRPr="009C1230">
        <w:t>Pre-requisite Unit</w:t>
      </w:r>
    </w:p>
    <w:p w:rsidR="00000000" w:rsidRPr="009C1230" w:rsidP="00F3361F">
      <w:pPr>
        <w:pStyle w:val="BodyText"/>
      </w:pPr>
      <w:r w:rsidRPr="009C1230">
        <w:t xml:space="preserve">AMPX209 Sharpen Knives </w:t>
      </w:r>
    </w:p>
    <w:p w:rsidR="00000000" w:rsidRPr="009C1230" w:rsidP="009C1230">
      <w:pPr>
        <w:pStyle w:val="List"/>
      </w:pPr>
      <w:r w:rsidRPr="009C1230">
        <w:t>AMPA3002 Handle an</w:t>
      </w:r>
      <w:r w:rsidRPr="009C1230">
        <w:t>imals humanely while conducting ante-mortem inspection</w:t>
      </w:r>
    </w:p>
    <w:p w:rsidR="00000000" w:rsidRPr="009C1230" w:rsidP="009C1230">
      <w:pPr>
        <w:pStyle w:val="Heading1"/>
      </w:pPr>
      <w:bookmarkStart w:id="4" w:name="O_892405"/>
      <w:bookmarkEnd w:id="4"/>
      <w:r w:rsidRPr="009C1230">
        <w:t>Unit Sector</w:t>
      </w:r>
    </w:p>
    <w:p w:rsidR="00000000" w:rsidRPr="009C1230" w:rsidP="009C1230">
      <w:pPr>
        <w:pStyle w:val="Heading1"/>
      </w:pPr>
      <w:bookmarkStart w:id="5" w:name="O_892406"/>
      <w:bookmarkEnd w:id="5"/>
      <w:r w:rsidRPr="009C123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TableHeading"/>
              <w:rPr>
                <w:lang w:val="en-NZ"/>
              </w:rPr>
            </w:pPr>
            <w:r w:rsidRPr="009C123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TableHeading"/>
              <w:rPr>
                <w:lang w:val="en-NZ"/>
              </w:rPr>
            </w:pPr>
            <w:r w:rsidRPr="009C1230">
              <w:t>Performance criteria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BodyText"/>
              <w:rPr>
                <w:lang w:val="en-NZ"/>
              </w:rPr>
            </w:pPr>
            <w:r w:rsidRPr="009C123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C1230">
            <w:pPr>
              <w:pStyle w:val="BodyText"/>
              <w:rPr>
                <w:lang w:val="en-NZ"/>
              </w:rPr>
            </w:pPr>
            <w:r w:rsidRPr="009C1230">
              <w:t>Performance criteria describe the performance needed to demonstrate achievement of the element.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1.</w:t>
            </w:r>
            <w:r w:rsidRPr="009C1230">
              <w:tab/>
              <w:t>Identify breeds and types of sheep and/or goats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1.1</w:t>
            </w:r>
            <w:r w:rsidRPr="009C1230">
              <w:tab/>
              <w:t>Identify major breeds of commonly slaughtered sheep or goats</w:t>
            </w:r>
          </w:p>
          <w:p w:rsidR="00000000" w:rsidRPr="009C1230" w:rsidP="009C1230">
            <w:pPr>
              <w:pStyle w:val="List"/>
            </w:pPr>
            <w:r w:rsidRPr="009C1230">
              <w:t>1.2</w:t>
            </w:r>
            <w:r w:rsidRPr="009C1230">
              <w:tab/>
              <w:t>Identi</w:t>
            </w:r>
            <w:r w:rsidRPr="009C1230">
              <w:t>fy distinguishing features of major breeds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1.3</w:t>
            </w:r>
            <w:r w:rsidRPr="009C1230">
              <w:tab/>
              <w:t>Describe market requirements for sheep or goats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2.</w:t>
            </w:r>
            <w:r w:rsidRPr="009C1230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2.1</w:t>
            </w:r>
            <w:r w:rsidRPr="009C1230">
              <w:tab/>
              <w:t>Explain reasons for ante-mortem inspection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2.2</w:t>
            </w:r>
            <w:r w:rsidRPr="009C1230">
              <w:tab/>
            </w:r>
            <w:r w:rsidRPr="009C1230">
              <w:t>Identify regulatory requirements associated with ante-mortem inspection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3.</w:t>
            </w:r>
            <w:r w:rsidRPr="009C1230">
              <w:tab/>
              <w:t>Perform ante-mortem inspection on lambs or sheep or goats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3.1</w:t>
            </w:r>
            <w:r w:rsidRPr="009C1230">
              <w:tab/>
              <w:t>Identify and explain procedures and principles of humane handling of lambs, sheep or goats</w:t>
            </w:r>
          </w:p>
          <w:p w:rsidR="00000000" w:rsidRPr="009C1230" w:rsidP="009C1230">
            <w:pPr>
              <w:pStyle w:val="List"/>
            </w:pPr>
            <w:r w:rsidRPr="009C1230">
              <w:t>3.2</w:t>
            </w:r>
            <w:r w:rsidRPr="009C1230">
              <w:tab/>
              <w:t>Detect and identify sig</w:t>
            </w:r>
            <w:r w:rsidRPr="009C1230">
              <w:t>ns of common conditions responsible for abnormalities at ante-mortem</w:t>
            </w:r>
          </w:p>
          <w:p w:rsidR="00000000" w:rsidRPr="009C1230" w:rsidP="009C1230">
            <w:pPr>
              <w:pStyle w:val="List"/>
            </w:pPr>
            <w:r w:rsidRPr="009C1230">
              <w:t>3.3</w:t>
            </w:r>
            <w:r w:rsidRPr="009C1230">
              <w:tab/>
              <w:t>Identify procedures for humane destruction</w:t>
            </w:r>
          </w:p>
          <w:p w:rsidR="00000000" w:rsidRPr="009C1230" w:rsidP="009C1230">
            <w:pPr>
              <w:pStyle w:val="List"/>
            </w:pPr>
            <w:r w:rsidRPr="009C1230">
              <w:t>3.4</w:t>
            </w:r>
            <w:r w:rsidRPr="009C1230">
              <w:tab/>
              <w:t>Identify procedures for emergency and suspect slaughter</w:t>
            </w:r>
          </w:p>
          <w:p w:rsidR="00000000" w:rsidRPr="009C1230" w:rsidP="009C1230">
            <w:pPr>
              <w:pStyle w:val="List"/>
            </w:pPr>
            <w:r w:rsidRPr="009C1230">
              <w:t>3.5</w:t>
            </w:r>
            <w:r w:rsidRPr="009C1230">
              <w:tab/>
              <w:t>Perform ante-mortem inspection on lambs or sheep according to relevant workp</w:t>
            </w:r>
            <w:r w:rsidRPr="009C1230">
              <w:t>lace health and safety and regulatory requirements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3.6</w:t>
            </w:r>
            <w:r w:rsidRPr="009C1230">
              <w:tab/>
              <w:t>Identify Quality Assurance aspects of ante-mortem inspection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4.</w:t>
            </w:r>
            <w:r w:rsidRPr="009C1230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4.1</w:t>
            </w:r>
            <w:r w:rsidRPr="009C1230">
              <w:tab/>
              <w:t>Identify and describe common diseases and conditions responsi</w:t>
            </w:r>
            <w:r w:rsidRPr="009C1230">
              <w:t>ble for abnormalities in lamb, sheep or goats</w:t>
            </w:r>
          </w:p>
          <w:p w:rsidR="00000000" w:rsidRPr="009C1230" w:rsidP="009C1230">
            <w:pPr>
              <w:pStyle w:val="List"/>
            </w:pPr>
            <w:r w:rsidRPr="009C1230">
              <w:t>4.2</w:t>
            </w:r>
            <w:r w:rsidRPr="009C1230">
              <w:tab/>
              <w:t>Segregate suspect stock according to regulatory and workplace requirements</w:t>
            </w:r>
          </w:p>
          <w:p w:rsidR="00000000" w:rsidRPr="009C1230" w:rsidP="009C1230">
            <w:pPr>
              <w:pStyle w:val="List"/>
            </w:pPr>
            <w:r w:rsidRPr="009C1230">
              <w:t>4.3</w:t>
            </w:r>
            <w:r w:rsidRPr="009C1230">
              <w:tab/>
              <w:t>Identify signs of emergency or notifiable diseases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4.4</w:t>
            </w:r>
            <w:r w:rsidRPr="009C1230">
              <w:tab/>
              <w:t>Describe emergency or notifiable disease procedures as set out in the re</w:t>
            </w:r>
            <w:r w:rsidRPr="009C1230">
              <w:t>levant regulations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5.</w:t>
            </w:r>
            <w:r w:rsidRPr="009C1230">
              <w:tab/>
              <w:t>Identify base anatomical structure systems of sheep and or goats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5.1</w:t>
            </w:r>
            <w:r w:rsidRPr="009C1230">
              <w:tab/>
              <w:t xml:space="preserve">Identify organs of ovine/caprine species </w:t>
            </w:r>
          </w:p>
          <w:p w:rsidR="00000000" w:rsidRPr="009C1230" w:rsidP="009C1230">
            <w:pPr>
              <w:pStyle w:val="List"/>
            </w:pPr>
            <w:r w:rsidRPr="009C1230">
              <w:t>5.2</w:t>
            </w:r>
            <w:r w:rsidRPr="009C1230">
              <w:tab/>
              <w:t>Identify and explain lymphatic, circulatory, digestive, urinary, nervous and respiratory systems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5.3</w:t>
            </w:r>
            <w:r w:rsidRPr="009C1230">
              <w:tab/>
            </w:r>
            <w:r w:rsidRPr="009C1230">
              <w:t>Identify basic skeletal structure of ovine/caprine species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6.</w:t>
            </w:r>
            <w:r w:rsidRPr="009C1230">
              <w:tab/>
              <w:t>Identify the main reasons for post-mortem inspection</w:t>
            </w:r>
            <w:r w:rsidRPr="009C1230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6.1</w:t>
            </w:r>
            <w:r w:rsidRPr="009C1230">
              <w:tab/>
              <w:t>Identify reasons for post-mortem inspection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6.2</w:t>
            </w:r>
            <w:r w:rsidRPr="009C1230">
              <w:tab/>
              <w:t>Identify regulatory requirements associated with post-mortem inspection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7.</w:t>
            </w:r>
            <w:r w:rsidRPr="009C1230">
              <w:tab/>
              <w:t>Perform po</w:t>
            </w:r>
            <w:r w:rsidRPr="009C1230">
              <w:t>st-mortem inspection of ovine/caprine species</w:t>
            </w:r>
            <w:r w:rsidRPr="009C1230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7.1</w:t>
            </w:r>
            <w:r w:rsidRPr="009C1230">
              <w:tab/>
              <w:t>Follow procedures for post-mortem inspection</w:t>
            </w:r>
          </w:p>
          <w:p w:rsidR="00000000" w:rsidRPr="009C1230" w:rsidP="009C1230">
            <w:pPr>
              <w:pStyle w:val="List"/>
            </w:pPr>
            <w:r w:rsidRPr="009C1230">
              <w:t>7.2</w:t>
            </w:r>
            <w:r w:rsidRPr="009C1230">
              <w:tab/>
              <w:t>Identify and detect abnormalities</w:t>
            </w:r>
          </w:p>
          <w:p w:rsidR="00000000" w:rsidRPr="009C1230" w:rsidP="009C1230">
            <w:pPr>
              <w:pStyle w:val="List"/>
            </w:pPr>
            <w:r w:rsidRPr="009C1230">
              <w:t>7.3</w:t>
            </w:r>
            <w:r w:rsidRPr="009C1230">
              <w:tab/>
              <w:t xml:space="preserve">Perform post-mortem inspection on at least one species (ovine or caprine) in accordance with regulatory requirements, </w:t>
            </w:r>
            <w:r w:rsidRPr="009C1230">
              <w:t>hygiene and sanitation requirements and workplace health and safety requirements, in a work environment and under normal production conditions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7.4</w:t>
            </w:r>
            <w:r w:rsidRPr="009C1230">
              <w:tab/>
              <w:t>Identify Quality Assurance (QA) issues of post-mortem inspection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8.</w:t>
            </w:r>
            <w:r w:rsidRPr="009C1230">
              <w:tab/>
              <w:t>Make disposition</w:t>
            </w:r>
            <w:r w:rsidRPr="009C1230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8.1</w:t>
            </w:r>
            <w:r w:rsidRPr="009C1230">
              <w:tab/>
              <w:t xml:space="preserve">Identify, detect </w:t>
            </w:r>
            <w:r w:rsidRPr="009C1230">
              <w:t>and document common diseases and conditions responsible for abnormalities for at least one species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8.2</w:t>
            </w:r>
            <w:r w:rsidRPr="009C1230">
              <w:tab/>
              <w:t>Identify and explain symptoms of emergency diseases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9.</w:t>
            </w:r>
            <w:r w:rsidRPr="009C1230">
              <w:tab/>
              <w:t>Treat affected carcase appropriately</w:t>
            </w:r>
            <w:r w:rsidRPr="009C1230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9.1</w:t>
            </w:r>
            <w:r w:rsidRPr="009C1230">
              <w:tab/>
              <w:t>Treat carcase in accordance with regulatory, hygiene a</w:t>
            </w:r>
            <w:r w:rsidRPr="009C1230">
              <w:t>nd sanitation, and workplace health and safety requirements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9.2</w:t>
            </w:r>
            <w:r w:rsidRPr="009C1230">
              <w:tab/>
              <w:t>Demonstrate anatomical knowledge of carcase in the disposition process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10.</w:t>
            </w:r>
            <w:r w:rsidRPr="009C1230">
              <w:tab/>
              <w:t>Monitor stunning and slaughter of animals</w:t>
            </w:r>
            <w:r w:rsidRPr="009C1230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10.1</w:t>
            </w:r>
            <w:r w:rsidRPr="009C1230">
              <w:tab/>
              <w:t>Identify requirements for effective stunning and slaughter</w:t>
            </w:r>
          </w:p>
          <w:p w:rsidR="00000000" w:rsidRPr="009C1230" w:rsidP="009C1230">
            <w:pPr>
              <w:pStyle w:val="List"/>
            </w:pPr>
            <w:r w:rsidRPr="009C1230">
              <w:t>10.2</w:t>
            </w:r>
            <w:r w:rsidRPr="009C1230">
              <w:tab/>
            </w:r>
            <w:r w:rsidRPr="009C1230">
              <w:t>Check that animals are stunned and bled according to workplace and regulatory requirements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10.3</w:t>
            </w:r>
            <w:r w:rsidRPr="009C1230">
              <w:tab/>
              <w:t>Ensure corrective action is taken in the event of ineffective stunning or bleeding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11.</w:t>
            </w:r>
            <w:r w:rsidRPr="009C1230">
              <w:tab/>
              <w:t>Describe the procedures followed for retained carcase on the slaughter f</w:t>
            </w:r>
            <w:r w:rsidRPr="009C1230">
              <w:t>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11.1</w:t>
            </w:r>
            <w:r w:rsidRPr="009C1230">
              <w:tab/>
              <w:t>Identify and describe procedures for retained carcase as set out workplace and regulatory requirements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12.</w:t>
            </w:r>
            <w:r w:rsidRPr="009C1230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12.1</w:t>
            </w:r>
            <w:r w:rsidRPr="009C1230">
              <w:tab/>
              <w:t xml:space="preserve">Identify and describe equipment for </w:t>
            </w:r>
            <w:r w:rsidRPr="009C1230">
              <w:t>post-mortem inspection</w:t>
            </w:r>
          </w:p>
          <w:p w:rsidR="00000000" w:rsidRPr="009C1230" w:rsidP="009C1230">
            <w:pPr>
              <w:pStyle w:val="List"/>
            </w:pPr>
            <w:r w:rsidRPr="009C1230">
              <w:t>12.2</w:t>
            </w:r>
            <w:r w:rsidRPr="009C1230">
              <w:tab/>
              <w:t>Use equipment in accordance with QA and workplace requirements</w:t>
            </w:r>
          </w:p>
          <w:p w:rsidR="00000000" w:rsidP="009C1230">
            <w:pPr>
              <w:pStyle w:val="List"/>
              <w:rPr>
                <w:lang w:val="en-NZ"/>
              </w:rPr>
            </w:pPr>
            <w:r w:rsidRPr="009C1230">
              <w:t>12.3</w:t>
            </w:r>
            <w:r w:rsidRPr="009C1230">
              <w:tab/>
              <w:t xml:space="preserve">Use, maintain and store PPE to workplace health and safety requirements </w:t>
            </w:r>
          </w:p>
        </w:tc>
      </w:tr>
      <w:tr w:rsidTr="00F336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13.</w:t>
            </w:r>
            <w:r w:rsidRPr="009C1230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30" w:rsidP="009C1230">
            <w:pPr>
              <w:pStyle w:val="List"/>
            </w:pPr>
            <w:r w:rsidRPr="009C1230">
              <w:t>13.1</w:t>
            </w:r>
            <w:r w:rsidRPr="009C1230">
              <w:tab/>
              <w:t>I</w:t>
            </w:r>
            <w:r w:rsidRPr="009C1230">
              <w:t>dentify lesions and tissues necessary for determining dispositions</w:t>
            </w:r>
          </w:p>
          <w:p w:rsidR="00000000" w:rsidRPr="009C1230" w:rsidP="009C1230">
            <w:pPr>
              <w:pStyle w:val="List"/>
            </w:pPr>
            <w:r w:rsidRPr="009C1230">
              <w:t>13.2</w:t>
            </w:r>
            <w:r w:rsidRPr="009C1230">
              <w:tab/>
              <w:t>Collect and submit specimens according to workplace procedures</w:t>
            </w:r>
          </w:p>
          <w:p w:rsidR="00000000" w:rsidRPr="009C1230" w:rsidP="009C1230">
            <w:pPr>
              <w:pStyle w:val="List"/>
            </w:pPr>
            <w:r w:rsidRPr="009C1230">
              <w:t>13.3</w:t>
            </w:r>
            <w:r w:rsidRPr="009C1230">
              <w:tab/>
              <w:t>Interpret results</w:t>
            </w:r>
          </w:p>
          <w:p w:rsidR="00000000" w:rsidRPr="009C1230" w:rsidP="009C1230">
            <w:pPr>
              <w:pStyle w:val="List"/>
            </w:pPr>
            <w:r w:rsidRPr="009C1230">
              <w:t>13.4</w:t>
            </w:r>
            <w:r w:rsidRPr="009C1230">
              <w:tab/>
              <w:t>Retain carcases awaiting results according to workplace procedures</w:t>
            </w:r>
          </w:p>
        </w:tc>
      </w:tr>
    </w:tbl>
    <w:p w:rsidR="00000000" w:rsidRPr="009C1230" w:rsidP="009C1230">
      <w:pPr>
        <w:pStyle w:val="BodyText"/>
      </w:pPr>
    </w:p>
    <w:p w:rsidR="00000000" w:rsidRPr="009C1230" w:rsidP="009C1230">
      <w:pPr>
        <w:pStyle w:val="AllowPageBreak"/>
      </w:pPr>
    </w:p>
    <w:p w:rsidR="00000000" w:rsidRPr="009C1230" w:rsidP="009C1230">
      <w:pPr>
        <w:pStyle w:val="Heading1"/>
      </w:pPr>
      <w:bookmarkStart w:id="6" w:name="O_892407"/>
      <w:bookmarkEnd w:id="6"/>
      <w:r w:rsidRPr="009C1230">
        <w:t>Foundation Skills</w:t>
      </w:r>
    </w:p>
    <w:p w:rsidR="00000000" w:rsidRPr="009C1230" w:rsidP="00F3361F">
      <w:pPr>
        <w:pStyle w:val="BodyText"/>
      </w:pPr>
      <w:r w:rsidRPr="009C1230">
        <w:t>Foundation Skills essential to performance are explicit in the performance criteria of this unit of competency.</w:t>
      </w:r>
    </w:p>
    <w:p w:rsidR="00000000" w:rsidRPr="009C1230" w:rsidP="009C1230">
      <w:pPr>
        <w:pStyle w:val="Heading1"/>
      </w:pPr>
      <w:bookmarkStart w:id="7" w:name="O_892408"/>
      <w:bookmarkEnd w:id="7"/>
      <w:r w:rsidRPr="009C1230">
        <w:t>Range of Conditions</w:t>
      </w:r>
    </w:p>
    <w:p w:rsidR="00000000" w:rsidRPr="009C1230" w:rsidP="009C1230">
      <w:pPr>
        <w:pStyle w:val="Heading1"/>
      </w:pPr>
      <w:bookmarkStart w:id="8" w:name="O_892409"/>
      <w:bookmarkEnd w:id="8"/>
      <w:r w:rsidRPr="009C1230">
        <w:t>Unit Mapping Information</w:t>
      </w:r>
    </w:p>
    <w:p w:rsidR="00000000" w:rsidRPr="009C1230" w:rsidP="00F3361F">
      <w:pPr>
        <w:pStyle w:val="BodyText"/>
      </w:pPr>
      <w:r w:rsidRPr="009C1230">
        <w:t>New unit - no equivalent unit.</w:t>
      </w:r>
    </w:p>
    <w:p w:rsidR="00000000" w:rsidRPr="009C1230" w:rsidP="009C1230">
      <w:pPr>
        <w:pStyle w:val="Heading1"/>
      </w:pPr>
      <w:bookmarkStart w:id="9" w:name="O_892416"/>
      <w:bookmarkEnd w:id="9"/>
      <w:r w:rsidRPr="009C1230">
        <w:t>Links</w:t>
      </w:r>
    </w:p>
    <w:p w:rsidR="00000000" w:rsidRPr="009C1230" w:rsidP="00F3361F">
      <w:pPr>
        <w:pStyle w:val="BodyText"/>
      </w:pPr>
      <w:r w:rsidRPr="009C1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42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1230" w:rsidP="009C1230"/>
    <w:sectPr w:rsidSect="009C1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30" w:rsidRPr="00F3361F" w:rsidP="00F33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1F" w:rsidP="009C1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61F" w:rsidP="009C1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361F" w:rsidP="009C1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230" w:rsidRPr="00F3361F" w:rsidP="00F33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1F" w:rsidRPr="002D2AF8" w:rsidP="009C1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AMPA3120 Perform ante and post-mortem inspection - 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3361F" w:rsidP="009C1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230"/>
  </w:style>
  <w:style w:type="character" w:customStyle="1" w:styleId="Heading1Char">
    <w:name w:val="Heading 1 Char"/>
    <w:basedOn w:val="DefaultParagraphFont"/>
    <w:link w:val="Heading1"/>
    <w:rsid w:val="009C1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2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23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C1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12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1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2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12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1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230"/>
    <w:rPr>
      <w:b/>
      <w:spacing w:val="0"/>
    </w:rPr>
  </w:style>
  <w:style w:type="paragraph" w:customStyle="1" w:styleId="SuperTitle">
    <w:name w:val="SuperTitle"/>
    <w:basedOn w:val="Title"/>
    <w:rsid w:val="009C1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2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230"/>
    <w:rPr>
      <w:i/>
    </w:rPr>
  </w:style>
  <w:style w:type="paragraph" w:styleId="Caption">
    <w:name w:val="caption"/>
    <w:basedOn w:val="BodyText"/>
    <w:next w:val="Normal"/>
    <w:qFormat/>
    <w:rsid w:val="009C1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230"/>
  </w:style>
  <w:style w:type="paragraph" w:styleId="TableofFigures">
    <w:name w:val="table of figures"/>
    <w:basedOn w:val="Normal"/>
    <w:next w:val="Normal"/>
    <w:semiHidden/>
    <w:rsid w:val="009C1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2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1230"/>
    <w:rPr>
      <w:rFonts w:ascii="Wingdings" w:hAnsi="Wingdings"/>
    </w:rPr>
  </w:style>
  <w:style w:type="character" w:customStyle="1" w:styleId="HotSpot">
    <w:name w:val="HotSpot"/>
    <w:rsid w:val="009C1230"/>
    <w:rPr>
      <w:color w:val="0033CC"/>
      <w:u w:val="none"/>
    </w:rPr>
  </w:style>
  <w:style w:type="paragraph" w:customStyle="1" w:styleId="BodyTextRight">
    <w:name w:val="Body Text Right"/>
    <w:basedOn w:val="BodyText"/>
    <w:rsid w:val="009C1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2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230"/>
    <w:rPr>
      <w:sz w:val="32"/>
    </w:rPr>
  </w:style>
  <w:style w:type="paragraph" w:customStyle="1" w:styleId="HeadingProcedure">
    <w:name w:val="Heading Procedure"/>
    <w:basedOn w:val="HeadingBase"/>
    <w:next w:val="Normal"/>
    <w:rsid w:val="009C1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230"/>
    <w:pPr>
      <w:spacing w:before="60" w:after="60"/>
    </w:pPr>
  </w:style>
  <w:style w:type="paragraph" w:styleId="ListContinue">
    <w:name w:val="List Continue"/>
    <w:basedOn w:val="List"/>
    <w:rsid w:val="009C1230"/>
    <w:pPr>
      <w:ind w:firstLine="0"/>
    </w:pPr>
  </w:style>
  <w:style w:type="paragraph" w:customStyle="1" w:styleId="ListNote">
    <w:name w:val="List Note"/>
    <w:basedOn w:val="List"/>
    <w:rsid w:val="009C1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230"/>
    <w:rPr>
      <w:rFonts w:ascii="Courier New" w:hAnsi="Courier New"/>
    </w:rPr>
  </w:style>
  <w:style w:type="paragraph" w:customStyle="1" w:styleId="NoteBullet">
    <w:name w:val="Note Bullet"/>
    <w:basedOn w:val="Note"/>
    <w:rsid w:val="009C1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2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1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230"/>
    <w:rPr>
      <w:b/>
      <w:smallCaps/>
    </w:rPr>
  </w:style>
  <w:style w:type="paragraph" w:customStyle="1" w:styleId="TableListNumber">
    <w:name w:val="Table List Number"/>
    <w:basedOn w:val="ListNumber"/>
    <w:rsid w:val="009C1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230"/>
    <w:pPr>
      <w:numPr>
        <w:numId w:val="7"/>
      </w:numPr>
    </w:pPr>
  </w:style>
  <w:style w:type="paragraph" w:customStyle="1" w:styleId="ListAlpha2">
    <w:name w:val="List Alpha 2"/>
    <w:basedOn w:val="List2"/>
    <w:rsid w:val="009C1230"/>
    <w:pPr>
      <w:numPr>
        <w:numId w:val="6"/>
      </w:numPr>
    </w:pPr>
  </w:style>
  <w:style w:type="paragraph" w:styleId="List2">
    <w:name w:val="List 2"/>
    <w:basedOn w:val="BodyText"/>
    <w:rsid w:val="009C1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2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2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1230"/>
    <w:pPr>
      <w:numPr>
        <w:numId w:val="2"/>
      </w:numPr>
    </w:pPr>
  </w:style>
  <w:style w:type="paragraph" w:styleId="ListContinue2">
    <w:name w:val="List Continue 2"/>
    <w:basedOn w:val="List2"/>
    <w:rsid w:val="009C1230"/>
    <w:pPr>
      <w:ind w:firstLine="0"/>
    </w:pPr>
  </w:style>
  <w:style w:type="paragraph" w:styleId="ListContinue3">
    <w:name w:val="List Continue 3"/>
    <w:basedOn w:val="List3"/>
    <w:rsid w:val="009C1230"/>
    <w:pPr>
      <w:ind w:left="1021" w:firstLine="0"/>
    </w:pPr>
  </w:style>
  <w:style w:type="paragraph" w:styleId="ListContinue4">
    <w:name w:val="List Continue 4"/>
    <w:basedOn w:val="List4"/>
    <w:rsid w:val="009C1230"/>
    <w:pPr>
      <w:ind w:firstLine="0"/>
    </w:pPr>
  </w:style>
  <w:style w:type="paragraph" w:styleId="ListContinue5">
    <w:name w:val="List Continue 5"/>
    <w:basedOn w:val="List5"/>
    <w:rsid w:val="009C1230"/>
    <w:pPr>
      <w:ind w:firstLine="0"/>
    </w:pPr>
  </w:style>
  <w:style w:type="paragraph" w:styleId="ListNumber3">
    <w:name w:val="List Number 3"/>
    <w:basedOn w:val="List3"/>
    <w:rsid w:val="009C1230"/>
    <w:pPr>
      <w:numPr>
        <w:numId w:val="3"/>
      </w:numPr>
    </w:pPr>
  </w:style>
  <w:style w:type="paragraph" w:styleId="ListNumber4">
    <w:name w:val="List Number 4"/>
    <w:basedOn w:val="List4"/>
    <w:rsid w:val="009C1230"/>
    <w:pPr>
      <w:numPr>
        <w:numId w:val="4"/>
      </w:numPr>
    </w:pPr>
  </w:style>
  <w:style w:type="paragraph" w:styleId="ListNumber5">
    <w:name w:val="List Number 5"/>
    <w:basedOn w:val="List5"/>
    <w:rsid w:val="009C1230"/>
    <w:pPr>
      <w:numPr>
        <w:numId w:val="5"/>
      </w:numPr>
    </w:pPr>
  </w:style>
  <w:style w:type="paragraph" w:styleId="BlockText">
    <w:name w:val="Block Text"/>
    <w:basedOn w:val="Normal"/>
    <w:rsid w:val="009C1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230"/>
    <w:rPr>
      <w:sz w:val="16"/>
      <w:vertAlign w:val="superscript"/>
    </w:rPr>
  </w:style>
  <w:style w:type="character" w:customStyle="1" w:styleId="Symbols">
    <w:name w:val="Symbols"/>
    <w:basedOn w:val="DefaultParagraphFont"/>
    <w:rsid w:val="009C1230"/>
    <w:rPr>
      <w:rFonts w:ascii="Symbol" w:hAnsi="Symbol"/>
    </w:rPr>
  </w:style>
  <w:style w:type="character" w:customStyle="1" w:styleId="MenuOptions">
    <w:name w:val="Menu Options"/>
    <w:basedOn w:val="DefaultParagraphFont"/>
    <w:rsid w:val="009C1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230"/>
    <w:rPr>
      <w:b/>
    </w:rPr>
  </w:style>
  <w:style w:type="character" w:customStyle="1" w:styleId="Underlined">
    <w:name w:val="Underlined"/>
    <w:basedOn w:val="DefaultParagraphFont"/>
    <w:rsid w:val="009C1230"/>
    <w:rPr>
      <w:u w:val="single"/>
    </w:rPr>
  </w:style>
  <w:style w:type="paragraph" w:customStyle="1" w:styleId="TableBodyTextRight">
    <w:name w:val="Table Body Text Right"/>
    <w:basedOn w:val="TableBodyText"/>
    <w:rsid w:val="009C1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230"/>
    <w:rPr>
      <w:sz w:val="18"/>
    </w:rPr>
  </w:style>
  <w:style w:type="paragraph" w:customStyle="1" w:styleId="BodySmallRight">
    <w:name w:val="Body Small Right"/>
    <w:basedOn w:val="BodyTextRight"/>
    <w:rsid w:val="009C1230"/>
    <w:rPr>
      <w:sz w:val="18"/>
      <w:szCs w:val="18"/>
    </w:rPr>
  </w:style>
  <w:style w:type="paragraph" w:customStyle="1" w:styleId="MarginEdition">
    <w:name w:val="Margin Edition"/>
    <w:basedOn w:val="MarginNote"/>
    <w:rsid w:val="009C1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230"/>
    <w:rPr>
      <w:sz w:val="2"/>
      <w:szCs w:val="2"/>
    </w:rPr>
  </w:style>
  <w:style w:type="character" w:customStyle="1" w:styleId="Small">
    <w:name w:val="Small"/>
    <w:basedOn w:val="DefaultParagraphFont"/>
    <w:rsid w:val="009C1230"/>
    <w:rPr>
      <w:sz w:val="16"/>
    </w:rPr>
  </w:style>
  <w:style w:type="paragraph" w:customStyle="1" w:styleId="WideTable">
    <w:name w:val="Wide Table"/>
    <w:basedOn w:val="Normal"/>
    <w:rsid w:val="009C1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230"/>
  </w:style>
  <w:style w:type="paragraph" w:styleId="Quote">
    <w:name w:val="Quote"/>
    <w:basedOn w:val="Heading1"/>
    <w:link w:val="QuoteChar"/>
    <w:qFormat/>
    <w:rsid w:val="009C1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230"/>
    <w:pPr>
      <w:pageBreakBefore/>
    </w:pPr>
  </w:style>
  <w:style w:type="paragraph" w:customStyle="1" w:styleId="Border">
    <w:name w:val="Border"/>
    <w:basedOn w:val="Normal"/>
    <w:qFormat/>
    <w:rsid w:val="009C1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230"/>
    <w:rPr>
      <w:u w:val="single"/>
    </w:rPr>
  </w:style>
  <w:style w:type="character" w:customStyle="1" w:styleId="BoldandItalics">
    <w:name w:val="Bold and Italics"/>
    <w:qFormat/>
    <w:rsid w:val="009C1230"/>
    <w:rPr>
      <w:b/>
      <w:i/>
      <w:u w:val="none"/>
    </w:rPr>
  </w:style>
  <w:style w:type="paragraph" w:styleId="BalloonText">
    <w:name w:val="Balloon Text"/>
    <w:basedOn w:val="Normal"/>
    <w:link w:val="BalloonTextChar"/>
    <w:rsid w:val="009C1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230"/>
    <w:pPr>
      <w:spacing w:before="0" w:after="0"/>
    </w:pPr>
  </w:style>
  <w:style w:type="paragraph" w:customStyle="1" w:styleId="BodyTextBold">
    <w:name w:val="Body Text Bold"/>
    <w:basedOn w:val="BodyText"/>
    <w:qFormat/>
    <w:rsid w:val="009C1230"/>
    <w:rPr>
      <w:b/>
    </w:rPr>
  </w:style>
  <w:style w:type="character" w:styleId="Hyperlink">
    <w:name w:val="Hyperlink"/>
    <w:basedOn w:val="DefaultParagraphFont"/>
    <w:uiPriority w:val="99"/>
    <w:unhideWhenUsed/>
    <w:rsid w:val="00F33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5128</Characters>
  <Application>Microsoft Office Word</Application>
  <DocSecurity>0</DocSecurity>
  <Lines>183</Lines>
  <Paragraphs>100</Paragraphs>
  <ScaleCrop>false</ScaleCrop>
  <Company>Author-it Software Corporation Ltd.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AMPA3120 Perform ante and post-mortem inspection -  Ovine and Caprine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2022-02-25T01:27:00Z</dcterms:created>
  <dcterms:modified xsi:type="dcterms:W3CDTF">2022-02-25T01:27:00Z</dcterms:modified>
</cp:coreProperties>
</file>