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074" w:rsidP="00A13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AMPA3086 Monitor boiler operations</w:t>
      </w:r>
      <w:r>
        <w:fldChar w:fldCharType="end"/>
      </w:r>
    </w:p>
    <w:p w:rsidR="00A13074" w:rsidP="00A13074">
      <w:pPr>
        <w:pStyle w:val="Version"/>
        <w:sectPr w:rsidSect="00E53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3F6" w:rsidP="00E533F6">
      <w:pPr>
        <w:pStyle w:val="SuperHeading"/>
      </w:pPr>
      <w:r w:rsidRPr="00E533F6">
        <w:t>AMPA3086 Monitor boiler operations</w:t>
      </w:r>
    </w:p>
    <w:p w:rsidR="00000000" w:rsidRPr="00E533F6" w:rsidP="00E533F6">
      <w:pPr>
        <w:pStyle w:val="Heading1"/>
      </w:pPr>
      <w:bookmarkStart w:id="1" w:name="O_895048"/>
      <w:bookmarkEnd w:id="1"/>
      <w:r w:rsidRPr="00E53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TableHeading"/>
              <w:rPr>
                <w:lang w:val="en-NZ"/>
              </w:rPr>
            </w:pPr>
            <w:r w:rsidRPr="00E533F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TableHeading"/>
              <w:rPr>
                <w:lang w:val="en-NZ"/>
              </w:rPr>
            </w:pPr>
            <w:r w:rsidRPr="00E533F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TableHeading"/>
              <w:rPr>
                <w:lang w:val="en-NZ"/>
              </w:rPr>
            </w:pPr>
            <w:r w:rsidRPr="00E533F6">
              <w:t>Comment</w:t>
            </w:r>
          </w:p>
        </w:tc>
      </w:tr>
      <w:tr w:rsidTr="00E5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BodyText"/>
              <w:rPr>
                <w:lang w:val="en-NZ"/>
              </w:rPr>
            </w:pPr>
            <w:r w:rsidRPr="00E533F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BodyText"/>
              <w:rPr>
                <w:lang w:val="en-NZ"/>
              </w:rPr>
            </w:pPr>
            <w:r w:rsidRPr="00E533F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F6" w:rsidP="00E533F6">
            <w:pPr>
              <w:pStyle w:val="BodyText"/>
            </w:pPr>
            <w:r w:rsidRPr="00E533F6">
              <w:t>Initial release</w:t>
            </w:r>
          </w:p>
        </w:tc>
      </w:tr>
    </w:tbl>
    <w:p w:rsidR="00000000" w:rsidRPr="00E533F6" w:rsidP="00E533F6">
      <w:pPr>
        <w:pStyle w:val="BodyText"/>
      </w:pPr>
    </w:p>
    <w:p w:rsidR="00000000" w:rsidRPr="00E533F6" w:rsidP="00E533F6">
      <w:pPr>
        <w:pStyle w:val="AllowPageBreak"/>
      </w:pPr>
    </w:p>
    <w:p w:rsidR="00000000" w:rsidRPr="00E533F6" w:rsidP="00E533F6">
      <w:pPr>
        <w:pStyle w:val="Heading1"/>
      </w:pPr>
      <w:bookmarkStart w:id="2" w:name="O_895049"/>
      <w:bookmarkEnd w:id="2"/>
      <w:r w:rsidRPr="00E533F6">
        <w:t>Application</w:t>
      </w:r>
    </w:p>
    <w:p w:rsidR="00000000" w:rsidRPr="00E533F6" w:rsidP="00A13074">
      <w:pPr>
        <w:pStyle w:val="BodyText"/>
      </w:pPr>
      <w:r w:rsidRPr="00E533F6">
        <w:t>This unit describes the skills and knowledge required to monitor boiler operations.</w:t>
      </w:r>
    </w:p>
    <w:p w:rsidR="00000000" w:rsidRPr="00E533F6" w:rsidP="00A13074">
      <w:pPr>
        <w:pStyle w:val="BodyText"/>
      </w:pPr>
      <w:r w:rsidRPr="00E533F6">
        <w:t>This unit is applicable to workers in meat processing premises.</w:t>
      </w:r>
    </w:p>
    <w:p w:rsidR="00000000" w:rsidRPr="00E533F6" w:rsidP="00A13074">
      <w:pPr>
        <w:pStyle w:val="BodyText"/>
      </w:pPr>
      <w:r w:rsidRPr="00E533F6">
        <w:t>All work should be carried out to comply with workplace procedures, customer requirements and product specifications.</w:t>
      </w:r>
    </w:p>
    <w:p w:rsidR="00000000" w:rsidRPr="00E533F6" w:rsidP="00A13074">
      <w:pPr>
        <w:pStyle w:val="BodyText"/>
      </w:pPr>
      <w:r w:rsidRPr="00E533F6">
        <w:t>This unit applies to individuals who work under broad direction and take responsibility for their own work including limited responsibili</w:t>
      </w:r>
      <w:r w:rsidRPr="00E533F6">
        <w:t>ty for the work of others. They provide and communicate solutions to a range of predictable problems.</w:t>
      </w:r>
    </w:p>
    <w:p w:rsidR="00000000" w:rsidRPr="00E533F6" w:rsidP="00A13074">
      <w:pPr>
        <w:pStyle w:val="BodyText"/>
      </w:pPr>
      <w:r w:rsidRPr="00E533F6">
        <w:t>No occupational licensing, legislative or certification requirements are known to apply to this unit at the time of publication.</w:t>
      </w:r>
    </w:p>
    <w:p w:rsidR="00000000" w:rsidRPr="00E533F6" w:rsidP="00A13074">
      <w:pPr>
        <w:pStyle w:val="BodyText"/>
      </w:pPr>
      <w:r w:rsidRPr="00E533F6">
        <w:t>This unit must be deliv</w:t>
      </w:r>
      <w:r w:rsidRPr="00E533F6">
        <w:t xml:space="preserve">ered and assessed in the context of Australian meat processing standards and regulations.  </w:t>
      </w:r>
    </w:p>
    <w:p w:rsidR="00000000" w:rsidRPr="00E533F6" w:rsidP="00E533F6">
      <w:pPr>
        <w:pStyle w:val="Heading1"/>
      </w:pPr>
      <w:bookmarkStart w:id="3" w:name="O_895050"/>
      <w:bookmarkEnd w:id="3"/>
      <w:r w:rsidRPr="00E533F6">
        <w:t>Pre-requisite Unit</w:t>
      </w:r>
    </w:p>
    <w:p w:rsidR="00000000" w:rsidRPr="00E533F6" w:rsidP="00A13074">
      <w:pPr>
        <w:pStyle w:val="BodyText"/>
      </w:pPr>
      <w:r w:rsidRPr="00E533F6">
        <w:t>Nil.</w:t>
      </w:r>
    </w:p>
    <w:p w:rsidR="00000000" w:rsidRPr="00E533F6" w:rsidP="00E533F6">
      <w:pPr>
        <w:pStyle w:val="Heading1"/>
      </w:pPr>
      <w:bookmarkStart w:id="4" w:name="O_895052"/>
      <w:bookmarkEnd w:id="4"/>
      <w:r w:rsidRPr="00E533F6">
        <w:t>Unit Sector</w:t>
      </w:r>
    </w:p>
    <w:p w:rsidR="00000000" w:rsidRPr="00E533F6" w:rsidP="00E533F6">
      <w:pPr>
        <w:pStyle w:val="Heading1"/>
      </w:pPr>
      <w:bookmarkStart w:id="5" w:name="O_895053"/>
      <w:bookmarkEnd w:id="5"/>
      <w:r w:rsidRPr="00E533F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130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TableHeading"/>
              <w:rPr>
                <w:lang w:val="en-NZ"/>
              </w:rPr>
            </w:pPr>
            <w:r w:rsidRPr="00E533F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TableHeading"/>
              <w:rPr>
                <w:lang w:val="en-NZ"/>
              </w:rPr>
            </w:pPr>
            <w:r w:rsidRPr="00E533F6">
              <w:t>Performance criteria</w:t>
            </w:r>
          </w:p>
        </w:tc>
      </w:tr>
      <w:tr w:rsidTr="00A130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BodyText"/>
              <w:rPr>
                <w:lang w:val="en-NZ"/>
              </w:rPr>
            </w:pPr>
            <w:r w:rsidRPr="00E533F6">
              <w:t xml:space="preserve">Elements describe the </w:t>
            </w:r>
            <w:r w:rsidRPr="00E533F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BodyText"/>
              <w:rPr>
                <w:lang w:val="en-NZ"/>
              </w:rPr>
            </w:pPr>
            <w:r w:rsidRPr="00E533F6">
              <w:t xml:space="preserve">Performance criteria describe the performance needed to </w:t>
            </w:r>
            <w:r w:rsidRPr="00E533F6">
              <w:t>demonstrate achievement of the element.</w:t>
            </w:r>
          </w:p>
        </w:tc>
      </w:tr>
      <w:tr w:rsidTr="00A130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List"/>
              <w:rPr>
                <w:lang w:val="en-NZ"/>
              </w:rPr>
            </w:pPr>
            <w:r w:rsidRPr="00E533F6">
              <w:t>1.</w:t>
            </w:r>
            <w:r w:rsidRPr="00E533F6">
              <w:tab/>
              <w:t>Set up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F6" w:rsidP="00E533F6">
            <w:pPr>
              <w:pStyle w:val="List"/>
            </w:pPr>
            <w:r w:rsidRPr="00E533F6">
              <w:t>1.1</w:t>
            </w:r>
            <w:r w:rsidRPr="00E533F6">
              <w:tab/>
              <w:t>Check equipment prior to operation according to work instructions</w:t>
            </w:r>
          </w:p>
          <w:p w:rsidR="00000000" w:rsidP="00E533F6">
            <w:pPr>
              <w:pStyle w:val="List"/>
              <w:rPr>
                <w:lang w:val="en-NZ"/>
              </w:rPr>
            </w:pPr>
            <w:r w:rsidRPr="00E533F6">
              <w:t>1.2</w:t>
            </w:r>
            <w:r w:rsidRPr="00E533F6">
              <w:tab/>
              <w:t>Ensure cleanliness of e</w:t>
            </w:r>
            <w:r w:rsidRPr="00E533F6">
              <w:t>quipment according to workplace requirements</w:t>
            </w:r>
          </w:p>
        </w:tc>
      </w:tr>
      <w:tr w:rsidTr="00A130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List"/>
              <w:rPr>
                <w:lang w:val="en-NZ"/>
              </w:rPr>
            </w:pPr>
            <w:r w:rsidRPr="00E533F6">
              <w:t>2.</w:t>
            </w:r>
            <w:r w:rsidRPr="00E533F6">
              <w:tab/>
              <w:t>Operate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F6" w:rsidP="00E533F6">
            <w:pPr>
              <w:pStyle w:val="List"/>
            </w:pPr>
            <w:r w:rsidRPr="00E533F6">
              <w:t>2.1</w:t>
            </w:r>
            <w:r w:rsidRPr="00E533F6">
              <w:tab/>
              <w:t>Load and program equipment according to work instructions</w:t>
            </w:r>
          </w:p>
          <w:p w:rsidR="00000000" w:rsidRPr="00E533F6" w:rsidP="00E533F6">
            <w:pPr>
              <w:pStyle w:val="List"/>
            </w:pPr>
            <w:r w:rsidRPr="00E533F6">
              <w:t>2.2</w:t>
            </w:r>
            <w:r w:rsidRPr="00E533F6">
              <w:tab/>
              <w:t>Operate equipment according to manufacturer</w:t>
            </w:r>
            <w:r>
              <w:t>’</w:t>
            </w:r>
            <w:r w:rsidRPr="00E533F6">
              <w:t>s specifications and workplace requirements</w:t>
            </w:r>
          </w:p>
          <w:p w:rsidR="00000000" w:rsidRPr="00E533F6" w:rsidP="00E533F6">
            <w:pPr>
              <w:pStyle w:val="List"/>
            </w:pPr>
            <w:r w:rsidRPr="00E533F6">
              <w:t>2.3</w:t>
            </w:r>
            <w:r w:rsidRPr="00E533F6">
              <w:tab/>
            </w:r>
            <w:r w:rsidRPr="00E533F6">
              <w:t xml:space="preserve">Identify and comply with workplace health and safety requirements </w:t>
            </w:r>
          </w:p>
        </w:tc>
      </w:tr>
    </w:tbl>
    <w:p w:rsidR="00000000" w:rsidRPr="00E533F6" w:rsidP="00E533F6">
      <w:pPr>
        <w:pStyle w:val="BodyText"/>
      </w:pPr>
    </w:p>
    <w:p w:rsidR="00000000" w:rsidRPr="00E533F6" w:rsidP="00E533F6">
      <w:pPr>
        <w:pStyle w:val="AllowPageBreak"/>
      </w:pPr>
    </w:p>
    <w:p w:rsidR="00000000" w:rsidRPr="00E533F6" w:rsidP="00E533F6">
      <w:pPr>
        <w:pStyle w:val="Heading1"/>
      </w:pPr>
      <w:bookmarkStart w:id="6" w:name="O_895054"/>
      <w:bookmarkEnd w:id="6"/>
      <w:r w:rsidRPr="00E533F6">
        <w:t>Foundation Skills</w:t>
      </w:r>
    </w:p>
    <w:p w:rsidR="00000000" w:rsidRPr="00E533F6" w:rsidP="00A13074">
      <w:pPr>
        <w:pStyle w:val="BodyText"/>
      </w:pPr>
      <w:r w:rsidRPr="00E533F6">
        <w:t>Foundation Skills essential to performance are explicit in the performance criteria of this unit of competency.</w:t>
      </w:r>
    </w:p>
    <w:p w:rsidR="00000000" w:rsidRPr="00E533F6" w:rsidP="00E533F6">
      <w:pPr>
        <w:pStyle w:val="Heading1"/>
      </w:pPr>
      <w:bookmarkStart w:id="7" w:name="O_895055"/>
      <w:bookmarkEnd w:id="7"/>
      <w:r w:rsidRPr="00E533F6">
        <w:t>Range of Conditions</w:t>
      </w:r>
    </w:p>
    <w:p w:rsidR="00000000" w:rsidRPr="00E533F6" w:rsidP="00E533F6">
      <w:pPr>
        <w:pStyle w:val="Heading1"/>
      </w:pPr>
      <w:bookmarkStart w:id="8" w:name="O_895056"/>
      <w:bookmarkEnd w:id="8"/>
      <w:r w:rsidRPr="00E533F6">
        <w:t>Unit Mapping Information</w:t>
      </w:r>
    </w:p>
    <w:p w:rsidR="00000000" w:rsidRPr="00E533F6" w:rsidP="00A13074">
      <w:pPr>
        <w:pStyle w:val="BodyText"/>
      </w:pPr>
      <w:r w:rsidRPr="00E533F6">
        <w:t>This unit is equivalent to MTMP3085C Monitor boiler operations.</w:t>
      </w:r>
    </w:p>
    <w:p w:rsidR="00000000" w:rsidRPr="00E533F6" w:rsidP="00E533F6">
      <w:pPr>
        <w:pStyle w:val="Heading1"/>
      </w:pPr>
      <w:bookmarkStart w:id="9" w:name="O_895063"/>
      <w:bookmarkEnd w:id="9"/>
      <w:r w:rsidRPr="00E533F6">
        <w:t>Links</w:t>
      </w:r>
    </w:p>
    <w:p w:rsidR="00000000" w:rsidRPr="00E533F6" w:rsidP="00A13074">
      <w:pPr>
        <w:pStyle w:val="BodyText"/>
      </w:pPr>
      <w:r w:rsidRPr="00E533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3B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33F6" w:rsidP="00A13074">
      <w:pPr>
        <w:pStyle w:val="BodyText"/>
        <w:sectPr w:rsidSect="00E533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33F6" w:rsidP="00E533F6">
      <w:pPr>
        <w:pStyle w:val="SuperHeading"/>
      </w:pPr>
      <w:r w:rsidRPr="00E533F6">
        <w:t>Assessment Requirements for AMPA3086 Monitor boiler operations</w:t>
      </w:r>
    </w:p>
    <w:p w:rsidR="00000000" w:rsidRPr="00E533F6" w:rsidP="00E533F6">
      <w:pPr>
        <w:pStyle w:val="Heading1"/>
      </w:pPr>
      <w:bookmarkStart w:id="10" w:name="O_895058"/>
      <w:bookmarkEnd w:id="10"/>
      <w:r w:rsidRPr="00E53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TableHeading"/>
              <w:rPr>
                <w:lang w:val="en-NZ"/>
              </w:rPr>
            </w:pPr>
            <w:r w:rsidRPr="00E533F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TableHeading"/>
              <w:rPr>
                <w:lang w:val="en-NZ"/>
              </w:rPr>
            </w:pPr>
            <w:r w:rsidRPr="00E533F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TableHeading"/>
              <w:rPr>
                <w:lang w:val="en-NZ"/>
              </w:rPr>
            </w:pPr>
            <w:r w:rsidRPr="00E533F6">
              <w:t>Comment</w:t>
            </w:r>
          </w:p>
        </w:tc>
      </w:tr>
      <w:tr w:rsidTr="00E5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BodyText"/>
              <w:rPr>
                <w:lang w:val="en-NZ"/>
              </w:rPr>
            </w:pPr>
            <w:r w:rsidRPr="00E533F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F6">
            <w:pPr>
              <w:pStyle w:val="BodyText"/>
              <w:rPr>
                <w:lang w:val="en-NZ"/>
              </w:rPr>
            </w:pPr>
            <w:r w:rsidRPr="00E533F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F6" w:rsidP="00E533F6">
            <w:pPr>
              <w:pStyle w:val="BodyText"/>
            </w:pPr>
            <w:r w:rsidRPr="00E533F6">
              <w:t>Initial release</w:t>
            </w:r>
          </w:p>
        </w:tc>
      </w:tr>
    </w:tbl>
    <w:p w:rsidR="00000000" w:rsidRPr="00E533F6" w:rsidP="00E533F6">
      <w:pPr>
        <w:pStyle w:val="BodyText"/>
      </w:pPr>
    </w:p>
    <w:p w:rsidR="00000000" w:rsidRPr="00E533F6" w:rsidP="00E533F6">
      <w:pPr>
        <w:pStyle w:val="AllowPageBreak"/>
      </w:pPr>
    </w:p>
    <w:p w:rsidR="00000000" w:rsidRPr="00E533F6" w:rsidP="00E533F6">
      <w:pPr>
        <w:pStyle w:val="Heading1"/>
      </w:pPr>
      <w:bookmarkStart w:id="11" w:name="O_895059"/>
      <w:bookmarkEnd w:id="11"/>
      <w:r w:rsidRPr="00E533F6">
        <w:t>Performance Evidence</w:t>
      </w:r>
    </w:p>
    <w:p w:rsidR="00000000" w:rsidRPr="00E533F6" w:rsidP="00A13074">
      <w:pPr>
        <w:pStyle w:val="BodyText"/>
      </w:pPr>
      <w:r w:rsidRPr="00E533F6">
        <w:t>The candidate must monitor boiler operations.</w:t>
      </w:r>
    </w:p>
    <w:p w:rsidR="00000000" w:rsidRPr="00E533F6" w:rsidP="00A13074">
      <w:pPr>
        <w:pStyle w:val="BodyText"/>
      </w:pPr>
      <w:r w:rsidRPr="00E533F6">
        <w:t xml:space="preserve">The candidate must: </w:t>
      </w:r>
    </w:p>
    <w:p w:rsidR="00000000" w:rsidRPr="00E533F6" w:rsidP="00E533F6">
      <w:pPr>
        <w:pStyle w:val="ListBullet"/>
      </w:pPr>
      <w:r w:rsidRPr="00E533F6">
        <w:t>demonstrate operation of boiler according to workplace requirements</w:t>
      </w:r>
    </w:p>
    <w:p w:rsidR="00000000" w:rsidRPr="00E533F6" w:rsidP="00E533F6">
      <w:pPr>
        <w:pStyle w:val="ListBullet"/>
      </w:pPr>
      <w:r w:rsidRPr="00E533F6">
        <w:t>identify production problems and out-of-specification product and take corrective action</w:t>
      </w:r>
    </w:p>
    <w:p w:rsidR="00000000" w:rsidRPr="00E533F6" w:rsidP="00E533F6">
      <w:pPr>
        <w:pStyle w:val="ListBullet"/>
      </w:pPr>
      <w:r w:rsidRPr="00E533F6">
        <w:t>apply communication skills rel</w:t>
      </w:r>
      <w:r w:rsidRPr="00E533F6">
        <w:t>evant to work instructions and Standard Operating Procedures (SOPs)</w:t>
      </w:r>
    </w:p>
    <w:p w:rsidR="00000000" w:rsidRPr="00E533F6" w:rsidP="00E533F6">
      <w:pPr>
        <w:pStyle w:val="ListBullet"/>
      </w:pPr>
      <w:r w:rsidRPr="00E533F6">
        <w:t>apply relevant regulatory requirements</w:t>
      </w:r>
    </w:p>
    <w:p w:rsidR="00000000" w:rsidRPr="00E533F6" w:rsidP="00E533F6">
      <w:pPr>
        <w:pStyle w:val="AllowPageBreak"/>
      </w:pPr>
    </w:p>
    <w:p w:rsidR="00000000" w:rsidRPr="00E533F6" w:rsidP="00E533F6">
      <w:pPr>
        <w:pStyle w:val="Heading1"/>
      </w:pPr>
      <w:bookmarkStart w:id="12" w:name="O_895060"/>
      <w:bookmarkEnd w:id="12"/>
      <w:r w:rsidRPr="00E533F6">
        <w:t>Knowledge Evidence</w:t>
      </w:r>
    </w:p>
    <w:p w:rsidR="00000000" w:rsidRPr="00E533F6" w:rsidP="00A13074">
      <w:pPr>
        <w:pStyle w:val="BodyText"/>
      </w:pPr>
      <w:r w:rsidRPr="00E533F6">
        <w:t xml:space="preserve">The candidate must demonstrate a factual, technical, procedural and theoretical knowledge of: </w:t>
      </w:r>
    </w:p>
    <w:p w:rsidR="00000000" w:rsidRPr="00E533F6" w:rsidP="00E533F6">
      <w:pPr>
        <w:pStyle w:val="ListBullet"/>
      </w:pPr>
      <w:r w:rsidRPr="00E533F6">
        <w:t>operation of boil</w:t>
      </w:r>
      <w:r w:rsidRPr="00E533F6">
        <w:t>er according to workplace requirements</w:t>
      </w:r>
    </w:p>
    <w:p w:rsidR="00000000" w:rsidRPr="00E533F6" w:rsidP="00E533F6">
      <w:pPr>
        <w:pStyle w:val="ListBullet"/>
      </w:pPr>
      <w:r w:rsidRPr="00E533F6">
        <w:t>effect on product and health and safety of incorrectly operating boiler</w:t>
      </w:r>
    </w:p>
    <w:p w:rsidR="00000000" w:rsidRPr="00E533F6" w:rsidP="00E533F6">
      <w:pPr>
        <w:pStyle w:val="ListBullet"/>
      </w:pPr>
      <w:r w:rsidRPr="00E533F6">
        <w:t>workplace health and safety requirements in operating boiler</w:t>
      </w:r>
    </w:p>
    <w:p w:rsidR="00000000" w:rsidRPr="00E533F6" w:rsidP="00E533F6">
      <w:pPr>
        <w:pStyle w:val="ListBullet"/>
      </w:pPr>
      <w:r w:rsidRPr="00E533F6">
        <w:t>relevant regulatory requirements</w:t>
      </w:r>
    </w:p>
    <w:p w:rsidR="00000000" w:rsidRPr="00E533F6" w:rsidP="00E533F6">
      <w:pPr>
        <w:pStyle w:val="AllowPageBreak"/>
      </w:pPr>
    </w:p>
    <w:p w:rsidR="00000000" w:rsidRPr="00E533F6" w:rsidP="00E533F6">
      <w:pPr>
        <w:pStyle w:val="Heading1"/>
      </w:pPr>
      <w:bookmarkStart w:id="13" w:name="O_895061"/>
      <w:bookmarkEnd w:id="13"/>
      <w:r w:rsidRPr="00E533F6">
        <w:t>Assessment Conditions</w:t>
      </w:r>
    </w:p>
    <w:p w:rsidR="00000000" w:rsidRPr="00E533F6" w:rsidP="00A13074">
      <w:pPr>
        <w:pStyle w:val="BodyText"/>
      </w:pPr>
      <w:r w:rsidRPr="00E533F6">
        <w:t>Assessment m</w:t>
      </w:r>
      <w:r w:rsidRPr="00E533F6">
        <w:t>ust be conducted in a registered, operating meat processing premises.</w:t>
      </w:r>
    </w:p>
    <w:p w:rsidR="00000000" w:rsidRPr="00E533F6" w:rsidP="00A13074">
      <w:pPr>
        <w:pStyle w:val="BodyText"/>
      </w:pPr>
      <w:r w:rsidRPr="00E533F6">
        <w:t>Competency must be demonstrated at the normal rate of production for that rendering plant.</w:t>
      </w:r>
    </w:p>
    <w:p w:rsidR="00000000" w:rsidRPr="00E533F6" w:rsidP="00A13074">
      <w:pPr>
        <w:pStyle w:val="BodyText"/>
      </w:pPr>
      <w:r w:rsidRPr="00E533F6">
        <w:t>As a minimum, the following three forms of assessment must be used:</w:t>
      </w:r>
    </w:p>
    <w:p w:rsidR="00000000" w:rsidRPr="00E533F6" w:rsidP="00E533F6">
      <w:pPr>
        <w:pStyle w:val="ListBullet"/>
      </w:pPr>
      <w:r w:rsidRPr="00E533F6">
        <w:t>quiz of underpinning knowledge</w:t>
      </w:r>
    </w:p>
    <w:p w:rsidR="00000000" w:rsidRPr="00E533F6" w:rsidP="00E533F6">
      <w:pPr>
        <w:pStyle w:val="ListBullet"/>
      </w:pPr>
      <w:r w:rsidRPr="00E533F6">
        <w:t xml:space="preserve">workplace demonstration </w:t>
      </w:r>
    </w:p>
    <w:p w:rsidR="00000000" w:rsidRPr="00E533F6" w:rsidP="00E533F6">
      <w:pPr>
        <w:pStyle w:val="ListBullet"/>
      </w:pPr>
      <w:r w:rsidRPr="00E533F6">
        <w:t>workplace referee or third-party report of performance over time</w:t>
      </w:r>
    </w:p>
    <w:p w:rsidR="00000000" w:rsidRPr="00E533F6" w:rsidP="00E533F6">
      <w:pPr>
        <w:pStyle w:val="BodyText"/>
      </w:pPr>
    </w:p>
    <w:p w:rsidR="00000000" w:rsidRPr="00E533F6" w:rsidP="00A13074">
      <w:pPr>
        <w:pStyle w:val="BodyText"/>
      </w:pPr>
      <w:r w:rsidRPr="00E533F6">
        <w:t>Assessors must satisfy the current standards for RTOs.</w:t>
      </w:r>
    </w:p>
    <w:p w:rsidR="00000000" w:rsidRPr="00E533F6" w:rsidP="00E533F6">
      <w:pPr>
        <w:pStyle w:val="Heading1"/>
      </w:pPr>
      <w:bookmarkStart w:id="14" w:name="O_895064"/>
      <w:bookmarkEnd w:id="14"/>
      <w:r w:rsidRPr="00E533F6">
        <w:t>Links</w:t>
      </w:r>
    </w:p>
    <w:p w:rsidR="00000000" w:rsidRPr="00E533F6" w:rsidP="00A13074">
      <w:pPr>
        <w:pStyle w:val="BodyText"/>
      </w:pPr>
      <w:r w:rsidRPr="00E533F6">
        <w:t>Companion Volume implementation guides are found in VETN</w:t>
      </w:r>
      <w:r w:rsidRPr="00E533F6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3B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33F6" w:rsidP="00E533F6"/>
    <w:sectPr w:rsidSect="00E533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F6" w:rsidRPr="00A13074" w:rsidP="00A13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074" w:rsidP="00E53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074" w:rsidP="00E53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3074" w:rsidP="00E533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F6" w:rsidP="00E53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3074">
      <w:t>Approved</w:t>
    </w:r>
    <w:r w:rsidR="00A130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30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3074">
      <w:rPr>
        <w:noProof/>
      </w:rPr>
      <w:t>4</w:t>
    </w:r>
    <w:r>
      <w:rPr>
        <w:noProof/>
      </w:rPr>
      <w:fldChar w:fldCharType="end"/>
    </w:r>
  </w:p>
  <w:p w:rsidR="00E533F6" w:rsidP="00E53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30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3074">
      <w:t>Skills Insight</w:t>
    </w:r>
    <w:r w:rsidR="00A13074">
      <w:fldChar w:fldCharType="end"/>
    </w:r>
  </w:p>
  <w:p w:rsidR="00E533F6" w:rsidP="00E53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3F6" w:rsidRPr="00A13074" w:rsidP="00A13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074" w:rsidRPr="002D2AF8" w:rsidP="00E53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AMPA3086 Monitor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3074" w:rsidP="00E533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F6" w:rsidRPr="002D2AF8" w:rsidP="00E53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3074">
      <w:t>AMPA3086 Monitor boiler operations</w:t>
    </w:r>
    <w:r w:rsidR="00A130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3074">
      <w:rPr>
        <w:noProof/>
      </w:rPr>
      <w:t>2 March 2025</w:t>
    </w:r>
    <w:r>
      <w:fldChar w:fldCharType="end"/>
    </w:r>
  </w:p>
  <w:p w:rsidR="00E533F6" w:rsidP="00E53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386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7A8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3F6"/>
  </w:style>
  <w:style w:type="character" w:customStyle="1" w:styleId="Heading1Char">
    <w:name w:val="Heading 1 Char"/>
    <w:basedOn w:val="DefaultParagraphFont"/>
    <w:link w:val="Heading1"/>
    <w:rsid w:val="00E53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3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33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3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3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33F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3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3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3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3F6"/>
    <w:rPr>
      <w:b/>
      <w:spacing w:val="0"/>
    </w:rPr>
  </w:style>
  <w:style w:type="paragraph" w:customStyle="1" w:styleId="SuperTitle">
    <w:name w:val="SuperTitle"/>
    <w:basedOn w:val="Title"/>
    <w:rsid w:val="00E53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3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3F6"/>
    <w:rPr>
      <w:i/>
    </w:rPr>
  </w:style>
  <w:style w:type="paragraph" w:styleId="Caption">
    <w:name w:val="caption"/>
    <w:basedOn w:val="BodyText"/>
    <w:next w:val="Normal"/>
    <w:qFormat/>
    <w:rsid w:val="00E53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3F6"/>
  </w:style>
  <w:style w:type="paragraph" w:styleId="TableofFigures">
    <w:name w:val="table of figures"/>
    <w:basedOn w:val="Normal"/>
    <w:next w:val="Normal"/>
    <w:semiHidden/>
    <w:rsid w:val="00E53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3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3F6"/>
    <w:rPr>
      <w:rFonts w:ascii="Wingdings" w:hAnsi="Wingdings"/>
    </w:rPr>
  </w:style>
  <w:style w:type="character" w:customStyle="1" w:styleId="HotSpot">
    <w:name w:val="HotSpot"/>
    <w:rsid w:val="00E533F6"/>
    <w:rPr>
      <w:color w:val="0033CC"/>
      <w:u w:val="none"/>
    </w:rPr>
  </w:style>
  <w:style w:type="paragraph" w:customStyle="1" w:styleId="BodyTextRight">
    <w:name w:val="Body Text Right"/>
    <w:basedOn w:val="BodyText"/>
    <w:rsid w:val="00E53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3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3F6"/>
    <w:rPr>
      <w:sz w:val="32"/>
    </w:rPr>
  </w:style>
  <w:style w:type="paragraph" w:customStyle="1" w:styleId="HeadingProcedure">
    <w:name w:val="Heading Procedure"/>
    <w:basedOn w:val="HeadingBase"/>
    <w:next w:val="Normal"/>
    <w:rsid w:val="00E53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3F6"/>
    <w:pPr>
      <w:spacing w:before="60" w:after="60"/>
    </w:pPr>
  </w:style>
  <w:style w:type="paragraph" w:styleId="ListContinue">
    <w:name w:val="List Continue"/>
    <w:basedOn w:val="List"/>
    <w:rsid w:val="00E533F6"/>
    <w:pPr>
      <w:ind w:firstLine="0"/>
    </w:pPr>
  </w:style>
  <w:style w:type="paragraph" w:customStyle="1" w:styleId="ListNote">
    <w:name w:val="List Note"/>
    <w:basedOn w:val="List"/>
    <w:rsid w:val="00E53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3F6"/>
    <w:rPr>
      <w:rFonts w:ascii="Courier New" w:hAnsi="Courier New"/>
    </w:rPr>
  </w:style>
  <w:style w:type="paragraph" w:customStyle="1" w:styleId="NoteBullet">
    <w:name w:val="Note Bullet"/>
    <w:basedOn w:val="Note"/>
    <w:rsid w:val="00E53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3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3F6"/>
    <w:rPr>
      <w:b/>
      <w:smallCaps/>
    </w:rPr>
  </w:style>
  <w:style w:type="paragraph" w:customStyle="1" w:styleId="TableListNumber">
    <w:name w:val="Table List Number"/>
    <w:basedOn w:val="ListNumber"/>
    <w:rsid w:val="00E53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3F6"/>
    <w:pPr>
      <w:numPr>
        <w:numId w:val="8"/>
      </w:numPr>
    </w:pPr>
  </w:style>
  <w:style w:type="paragraph" w:customStyle="1" w:styleId="ListAlpha2">
    <w:name w:val="List Alpha 2"/>
    <w:basedOn w:val="List2"/>
    <w:rsid w:val="00E533F6"/>
    <w:pPr>
      <w:numPr>
        <w:numId w:val="7"/>
      </w:numPr>
    </w:pPr>
  </w:style>
  <w:style w:type="paragraph" w:styleId="List2">
    <w:name w:val="List 2"/>
    <w:basedOn w:val="BodyText"/>
    <w:rsid w:val="00E53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3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3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3F6"/>
    <w:pPr>
      <w:numPr>
        <w:numId w:val="3"/>
      </w:numPr>
    </w:pPr>
  </w:style>
  <w:style w:type="paragraph" w:styleId="ListContinue2">
    <w:name w:val="List Continue 2"/>
    <w:basedOn w:val="List2"/>
    <w:rsid w:val="00E533F6"/>
    <w:pPr>
      <w:ind w:firstLine="0"/>
    </w:pPr>
  </w:style>
  <w:style w:type="paragraph" w:styleId="ListContinue3">
    <w:name w:val="List Continue 3"/>
    <w:basedOn w:val="List3"/>
    <w:rsid w:val="00E533F6"/>
    <w:pPr>
      <w:ind w:left="1021" w:firstLine="0"/>
    </w:pPr>
  </w:style>
  <w:style w:type="paragraph" w:styleId="ListContinue4">
    <w:name w:val="List Continue 4"/>
    <w:basedOn w:val="List4"/>
    <w:rsid w:val="00E533F6"/>
    <w:pPr>
      <w:ind w:firstLine="0"/>
    </w:pPr>
  </w:style>
  <w:style w:type="paragraph" w:styleId="ListContinue5">
    <w:name w:val="List Continue 5"/>
    <w:basedOn w:val="List5"/>
    <w:rsid w:val="00E533F6"/>
    <w:pPr>
      <w:ind w:firstLine="0"/>
    </w:pPr>
  </w:style>
  <w:style w:type="paragraph" w:styleId="ListNumber3">
    <w:name w:val="List Number 3"/>
    <w:basedOn w:val="List3"/>
    <w:rsid w:val="00E533F6"/>
    <w:pPr>
      <w:numPr>
        <w:numId w:val="4"/>
      </w:numPr>
    </w:pPr>
  </w:style>
  <w:style w:type="paragraph" w:styleId="ListNumber4">
    <w:name w:val="List Number 4"/>
    <w:basedOn w:val="List4"/>
    <w:rsid w:val="00E533F6"/>
    <w:pPr>
      <w:numPr>
        <w:numId w:val="5"/>
      </w:numPr>
    </w:pPr>
  </w:style>
  <w:style w:type="paragraph" w:styleId="ListNumber5">
    <w:name w:val="List Number 5"/>
    <w:basedOn w:val="List5"/>
    <w:rsid w:val="00E533F6"/>
    <w:pPr>
      <w:numPr>
        <w:numId w:val="6"/>
      </w:numPr>
    </w:pPr>
  </w:style>
  <w:style w:type="paragraph" w:styleId="BlockText">
    <w:name w:val="Block Text"/>
    <w:basedOn w:val="Normal"/>
    <w:rsid w:val="00E53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3F6"/>
    <w:rPr>
      <w:sz w:val="16"/>
      <w:vertAlign w:val="superscript"/>
    </w:rPr>
  </w:style>
  <w:style w:type="character" w:customStyle="1" w:styleId="Symbols">
    <w:name w:val="Symbols"/>
    <w:basedOn w:val="DefaultParagraphFont"/>
    <w:rsid w:val="00E533F6"/>
    <w:rPr>
      <w:rFonts w:ascii="Symbol" w:hAnsi="Symbol"/>
    </w:rPr>
  </w:style>
  <w:style w:type="character" w:customStyle="1" w:styleId="MenuOptions">
    <w:name w:val="Menu Options"/>
    <w:basedOn w:val="DefaultParagraphFont"/>
    <w:rsid w:val="00E53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3F6"/>
    <w:rPr>
      <w:b/>
    </w:rPr>
  </w:style>
  <w:style w:type="character" w:customStyle="1" w:styleId="Underlined">
    <w:name w:val="Underlined"/>
    <w:basedOn w:val="DefaultParagraphFont"/>
    <w:rsid w:val="00E533F6"/>
    <w:rPr>
      <w:u w:val="single"/>
    </w:rPr>
  </w:style>
  <w:style w:type="paragraph" w:customStyle="1" w:styleId="TableBodyTextRight">
    <w:name w:val="Table Body Text Right"/>
    <w:basedOn w:val="TableBodyText"/>
    <w:rsid w:val="00E53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3F6"/>
    <w:rPr>
      <w:sz w:val="18"/>
    </w:rPr>
  </w:style>
  <w:style w:type="paragraph" w:customStyle="1" w:styleId="BodySmallRight">
    <w:name w:val="Body Small Right"/>
    <w:basedOn w:val="BodyTextRight"/>
    <w:rsid w:val="00E533F6"/>
    <w:rPr>
      <w:sz w:val="18"/>
      <w:szCs w:val="18"/>
    </w:rPr>
  </w:style>
  <w:style w:type="paragraph" w:customStyle="1" w:styleId="MarginEdition">
    <w:name w:val="Margin Edition"/>
    <w:basedOn w:val="MarginNote"/>
    <w:rsid w:val="00E53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3F6"/>
    <w:rPr>
      <w:sz w:val="2"/>
      <w:szCs w:val="2"/>
    </w:rPr>
  </w:style>
  <w:style w:type="character" w:customStyle="1" w:styleId="Small">
    <w:name w:val="Small"/>
    <w:basedOn w:val="DefaultParagraphFont"/>
    <w:rsid w:val="00E533F6"/>
    <w:rPr>
      <w:sz w:val="16"/>
    </w:rPr>
  </w:style>
  <w:style w:type="paragraph" w:customStyle="1" w:styleId="WideTable">
    <w:name w:val="Wide Table"/>
    <w:basedOn w:val="Normal"/>
    <w:rsid w:val="00E53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3F6"/>
  </w:style>
  <w:style w:type="paragraph" w:styleId="Quote">
    <w:name w:val="Quote"/>
    <w:basedOn w:val="Heading1"/>
    <w:link w:val="QuoteChar"/>
    <w:qFormat/>
    <w:rsid w:val="00E53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3F6"/>
    <w:pPr>
      <w:pageBreakBefore/>
    </w:pPr>
  </w:style>
  <w:style w:type="paragraph" w:customStyle="1" w:styleId="Border">
    <w:name w:val="Border"/>
    <w:basedOn w:val="Normal"/>
    <w:qFormat/>
    <w:rsid w:val="00E53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3F6"/>
    <w:rPr>
      <w:u w:val="single"/>
    </w:rPr>
  </w:style>
  <w:style w:type="character" w:customStyle="1" w:styleId="BoldandItalics">
    <w:name w:val="Bold and Italics"/>
    <w:qFormat/>
    <w:rsid w:val="00E533F6"/>
    <w:rPr>
      <w:b/>
      <w:i/>
      <w:u w:val="none"/>
    </w:rPr>
  </w:style>
  <w:style w:type="paragraph" w:styleId="BalloonText">
    <w:name w:val="Balloon Text"/>
    <w:basedOn w:val="Normal"/>
    <w:link w:val="BalloonTextChar"/>
    <w:rsid w:val="00E53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3F6"/>
    <w:pPr>
      <w:spacing w:before="0" w:after="0"/>
    </w:pPr>
  </w:style>
  <w:style w:type="paragraph" w:customStyle="1" w:styleId="BodyTextBold">
    <w:name w:val="Body Text Bold"/>
    <w:basedOn w:val="BodyText"/>
    <w:qFormat/>
    <w:rsid w:val="00E533F6"/>
    <w:rPr>
      <w:b/>
    </w:rPr>
  </w:style>
  <w:style w:type="character" w:styleId="Hyperlink">
    <w:name w:val="Hyperlink"/>
    <w:basedOn w:val="DefaultParagraphFont"/>
    <w:uiPriority w:val="99"/>
    <w:unhideWhenUsed/>
    <w:rsid w:val="00A13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3214</Characters>
  <Application>Microsoft Office Word</Application>
  <DocSecurity>0</DocSecurity>
  <Lines>123</Lines>
  <Paragraphs>85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AMPA3086 Monitor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