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C25" w:rsidP="00714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AMPA3072 Perform carcase Meat Hygiene Assessment</w:t>
      </w:r>
      <w:r>
        <w:fldChar w:fldCharType="end"/>
      </w:r>
    </w:p>
    <w:p w:rsidR="00714C25" w:rsidP="00714C25">
      <w:pPr>
        <w:pStyle w:val="Version"/>
        <w:sectPr w:rsidSect="00FB2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2901" w:rsidP="00FB2901">
      <w:pPr>
        <w:pStyle w:val="SuperHeading"/>
      </w:pPr>
      <w:r w:rsidRPr="00FB2901">
        <w:t>AMPA3072 Perform carcase Meat Hygiene Assessment</w:t>
      </w:r>
    </w:p>
    <w:p w:rsidR="00000000" w:rsidRPr="00FB2901" w:rsidP="00FB2901">
      <w:pPr>
        <w:pStyle w:val="Heading1"/>
      </w:pPr>
      <w:bookmarkStart w:id="1" w:name="O_1142032"/>
      <w:bookmarkEnd w:id="1"/>
      <w:r w:rsidRPr="00FB29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2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Bold"/>
              <w:rPr>
                <w:lang w:val="en-NZ"/>
              </w:rPr>
            </w:pPr>
            <w:r w:rsidRPr="00FB290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Bold"/>
              <w:rPr>
                <w:lang w:val="en-NZ"/>
              </w:rPr>
            </w:pPr>
            <w:r w:rsidRPr="00FB2901">
              <w:t>Comments</w:t>
            </w:r>
          </w:p>
        </w:tc>
      </w:tr>
      <w:tr w:rsidTr="00FB2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"/>
              <w:rPr>
                <w:lang w:val="en-NZ"/>
              </w:rPr>
            </w:pPr>
            <w:r w:rsidRPr="00FB2901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"/>
              <w:rPr>
                <w:lang w:val="en-NZ"/>
              </w:rPr>
            </w:pPr>
            <w:r w:rsidRPr="00FB2901">
              <w:t>This version released with AMP Australian Meat Processing Training Package Version 5.0.</w:t>
            </w:r>
          </w:p>
        </w:tc>
      </w:tr>
      <w:tr w:rsidTr="00FB2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"/>
              <w:rPr>
                <w:lang w:val="en-NZ"/>
              </w:rPr>
            </w:pPr>
            <w:r w:rsidRPr="00FB290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01" w:rsidP="00FB2901">
            <w:pPr>
              <w:pStyle w:val="BodyText"/>
            </w:pPr>
            <w:r w:rsidRPr="00FB2901">
              <w:t>This version released with AMP Australian Meat Processing Training Package Version 2.0.</w:t>
            </w:r>
          </w:p>
        </w:tc>
      </w:tr>
    </w:tbl>
    <w:p w:rsidR="00000000" w:rsidRPr="00FB2901" w:rsidP="00FB2901">
      <w:pPr>
        <w:pStyle w:val="BodyText"/>
      </w:pPr>
    </w:p>
    <w:p w:rsidR="00000000" w:rsidRPr="00FB2901" w:rsidP="00FB2901">
      <w:pPr>
        <w:pStyle w:val="AllowPageBreak"/>
      </w:pPr>
    </w:p>
    <w:p w:rsidR="00000000" w:rsidRPr="00FB2901" w:rsidP="00FB2901">
      <w:pPr>
        <w:pStyle w:val="Heading1"/>
      </w:pPr>
      <w:bookmarkStart w:id="2" w:name="O_1142031"/>
      <w:bookmarkEnd w:id="2"/>
      <w:r w:rsidRPr="00FB2901">
        <w:t>Application</w:t>
      </w:r>
    </w:p>
    <w:p w:rsidR="00000000" w:rsidRPr="00FB2901" w:rsidP="00714C25">
      <w:pPr>
        <w:pStyle w:val="BodyText"/>
      </w:pPr>
      <w:r w:rsidRPr="00FB2901">
        <w:t>This unit describes the skills and knowledge required to monitor carcase hygiene.</w:t>
      </w:r>
    </w:p>
    <w:p w:rsidR="00000000" w:rsidRPr="00FB2901" w:rsidP="00714C25">
      <w:pPr>
        <w:pStyle w:val="BodyText"/>
      </w:pPr>
      <w:r w:rsidRPr="00FB2901">
        <w:t>This unit is applicable to workers monitoring carcase hygiene either on the slaughter floor or performing a pre-boning carcase assessment at either inte</w:t>
      </w:r>
      <w:r w:rsidRPr="00FB2901">
        <w:t>grated or independent boning rooms.</w:t>
      </w:r>
    </w:p>
    <w:p w:rsidR="00000000" w:rsidRPr="00FB2901" w:rsidP="00714C25">
      <w:pPr>
        <w:pStyle w:val="BodyText"/>
      </w:pPr>
      <w:r w:rsidRPr="00FB2901">
        <w:t>All work should be carried out to comply with workplace procedures, customer requirements and product specifications.</w:t>
      </w:r>
    </w:p>
    <w:p w:rsidR="00000000" w:rsidRPr="00FB2901" w:rsidP="00714C25">
      <w:pPr>
        <w:pStyle w:val="BodyText"/>
      </w:pPr>
      <w:r w:rsidRPr="00FB2901">
        <w:t xml:space="preserve">This unit applies to individuals who work under broad direction and take responsibility for their own </w:t>
      </w:r>
      <w:r w:rsidRPr="00FB2901">
        <w:t>work including limited responsibility for the work of others. They provide and communicate solutions to a range of predictable problems.</w:t>
      </w:r>
    </w:p>
    <w:p w:rsidR="00000000" w:rsidRPr="00FB2901" w:rsidP="00714C25">
      <w:pPr>
        <w:pStyle w:val="BodyText"/>
      </w:pPr>
      <w:r w:rsidRPr="00FB2901">
        <w:t>No licensing, legislative or certification requirements are known to apply to this unit at the time of publication.</w:t>
      </w:r>
    </w:p>
    <w:p w:rsidR="00000000" w:rsidRPr="00FB2901" w:rsidP="00714C25">
      <w:pPr>
        <w:pStyle w:val="BodyText"/>
      </w:pPr>
      <w:r w:rsidRPr="00FB2901">
        <w:t>Thi</w:t>
      </w:r>
      <w:r w:rsidRPr="00FB2901">
        <w:t>s unit must be delivered and assessed in the context of Australian meat processing standards and regulations.</w:t>
      </w:r>
    </w:p>
    <w:p w:rsidR="00000000" w:rsidRPr="00FB2901" w:rsidP="00FB2901">
      <w:pPr>
        <w:pStyle w:val="Heading1"/>
      </w:pPr>
      <w:bookmarkStart w:id="3" w:name="O_1142030"/>
      <w:bookmarkEnd w:id="3"/>
      <w:r w:rsidRPr="00FB2901">
        <w:t>Pre-requisite Unit</w:t>
      </w:r>
    </w:p>
    <w:p w:rsidR="00714C25" w:rsidP="00714C25">
      <w:pPr>
        <w:pStyle w:val="BodyText"/>
      </w:pPr>
      <w:r w:rsidRPr="00FB2901">
        <w:t>AMPX209 Sharpen knives</w:t>
      </w:r>
    </w:p>
    <w:p w:rsidR="00000000" w:rsidRPr="00FB2901" w:rsidP="00FB2901">
      <w:pPr>
        <w:pStyle w:val="Heading1"/>
      </w:pPr>
      <w:bookmarkStart w:id="4" w:name="O_1142029"/>
      <w:bookmarkEnd w:id="4"/>
      <w:r w:rsidRPr="00FB2901">
        <w:t>Unit Sector</w:t>
      </w:r>
    </w:p>
    <w:p w:rsidR="00000000" w:rsidRPr="00FB2901" w:rsidP="00FB2901">
      <w:pPr>
        <w:pStyle w:val="Heading1"/>
      </w:pPr>
      <w:bookmarkStart w:id="5" w:name="O_1142028"/>
      <w:bookmarkEnd w:id="5"/>
      <w:r w:rsidRPr="00FB29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4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Bold"/>
              <w:rPr>
                <w:lang w:val="en-NZ"/>
              </w:rPr>
            </w:pPr>
            <w:r w:rsidRPr="00FB290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Bold"/>
              <w:rPr>
                <w:lang w:val="en-NZ"/>
              </w:rPr>
            </w:pPr>
            <w:r w:rsidRPr="00FB2901">
              <w:t>Performance Criteria</w:t>
            </w:r>
          </w:p>
        </w:tc>
      </w:tr>
      <w:tr w:rsidTr="00714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01" w:rsidP="00FB2901">
            <w:pPr>
              <w:pStyle w:val="BodyText"/>
            </w:pPr>
            <w:r w:rsidRPr="00FB29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"/>
              <w:rPr>
                <w:lang w:val="en-NZ"/>
              </w:rPr>
            </w:pPr>
            <w:r w:rsidRPr="00FB29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4C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"/>
              <w:rPr>
                <w:lang w:val="en-NZ"/>
              </w:rPr>
            </w:pPr>
            <w:r w:rsidRPr="00FB2901">
              <w:t>1. Monitor carcase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01" w:rsidP="00FB2901">
            <w:pPr>
              <w:pStyle w:val="BodyText"/>
            </w:pPr>
            <w:r w:rsidRPr="00FB2901">
              <w:t>1.1 Select samples for assessment according to the approved sampling plan for sample size and frequency</w:t>
            </w:r>
          </w:p>
          <w:p w:rsidR="00000000" w:rsidRPr="00FB2901" w:rsidP="00FB2901">
            <w:pPr>
              <w:pStyle w:val="BodyText"/>
            </w:pPr>
            <w:r w:rsidRPr="00FB2901">
              <w:t>1.2 Conduct assessment utilising appropriate facilities, lighting and time</w:t>
            </w:r>
          </w:p>
          <w:p w:rsidR="00000000" w:rsidRPr="00FB2901" w:rsidP="00FB2901">
            <w:pPr>
              <w:pStyle w:val="BodyText"/>
            </w:pPr>
            <w:r w:rsidRPr="00FB2901">
              <w:t>1.3 Monitor carcases for defects according to the agreed criteria and classif</w:t>
            </w:r>
            <w:r w:rsidRPr="00FB2901">
              <w:t>ication</w:t>
            </w:r>
          </w:p>
          <w:p w:rsidR="00000000" w:rsidRPr="00FB2901" w:rsidP="00FB2901">
            <w:pPr>
              <w:pStyle w:val="BodyText"/>
            </w:pPr>
            <w:r w:rsidRPr="00FB2901">
              <w:t>1.4 Scan carcases using the approved scanning lines</w:t>
            </w:r>
          </w:p>
          <w:p w:rsidR="00000000" w:rsidRPr="00FB2901" w:rsidP="00FB2901">
            <w:pPr>
              <w:pStyle w:val="BodyText"/>
            </w:pPr>
            <w:r w:rsidRPr="00FB2901">
              <w:t>1.5 Record defects accurately using the correct forms or electronic system</w:t>
            </w:r>
          </w:p>
          <w:p w:rsidR="00000000" w:rsidRPr="00FB2901" w:rsidP="00FB2901">
            <w:pPr>
              <w:pStyle w:val="BodyText"/>
            </w:pPr>
            <w:r w:rsidRPr="00FB2901">
              <w:t>1.6 Implement immediate corrective action according to the Meat Hygiene Assessment (MHA) program</w:t>
            </w:r>
            <w:r>
              <w:t>’</w:t>
            </w:r>
            <w:r w:rsidRPr="00FB2901">
              <w:t>s requirements</w:t>
            </w:r>
          </w:p>
          <w:p w:rsidR="00000000" w:rsidRPr="00FB2901" w:rsidP="00FB2901">
            <w:pPr>
              <w:pStyle w:val="BodyText"/>
            </w:pPr>
            <w:r w:rsidRPr="00FB2901">
              <w:t>1.7 Monit</w:t>
            </w:r>
            <w:r w:rsidRPr="00FB2901">
              <w:t>or carcases according to the workplace requirements for hygiene and sanitation, and workplace health and safety</w:t>
            </w:r>
          </w:p>
        </w:tc>
      </w:tr>
    </w:tbl>
    <w:p w:rsidR="00000000" w:rsidRPr="00FB2901" w:rsidP="00FB2901">
      <w:pPr>
        <w:pStyle w:val="BodyText"/>
      </w:pPr>
    </w:p>
    <w:p w:rsidR="00000000" w:rsidRPr="00FB2901" w:rsidP="00FB2901">
      <w:pPr>
        <w:pStyle w:val="AllowPageBreak"/>
      </w:pPr>
    </w:p>
    <w:p w:rsidR="00000000" w:rsidRPr="00FB2901" w:rsidP="00FB2901">
      <w:pPr>
        <w:pStyle w:val="Heading1"/>
      </w:pPr>
      <w:bookmarkStart w:id="6" w:name="O_1142027"/>
      <w:bookmarkEnd w:id="6"/>
      <w:r w:rsidRPr="00FB2901">
        <w:t>Foundation Skills</w:t>
      </w:r>
    </w:p>
    <w:p w:rsidR="00000000" w:rsidRPr="00714C25" w:rsidP="00714C25">
      <w:pPr>
        <w:pStyle w:val="BodyText"/>
        <w:rPr>
          <w:i/>
        </w:rPr>
      </w:pPr>
      <w:r w:rsidRPr="00714C25">
        <w:rPr>
          <w:rStyle w:val="Emphasis"/>
        </w:rPr>
        <w:t>This section describes those language, literacy, numeracy and employment skills that are essential for pe</w:t>
      </w:r>
      <w:r w:rsidRPr="00714C25">
        <w:rPr>
          <w:rStyle w:val="Emphasis"/>
        </w:rPr>
        <w:t>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2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Bold"/>
              <w:rPr>
                <w:lang w:val="en-NZ"/>
              </w:rPr>
            </w:pPr>
            <w:r w:rsidRPr="00FB290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Bold"/>
              <w:rPr>
                <w:lang w:val="en-NZ"/>
              </w:rPr>
            </w:pPr>
            <w:r w:rsidRPr="00FB2901">
              <w:t>Description</w:t>
            </w:r>
          </w:p>
        </w:tc>
      </w:tr>
      <w:tr w:rsidTr="00FB2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01" w:rsidP="00FB2901">
            <w:pPr>
              <w:pStyle w:val="BodyText"/>
            </w:pPr>
            <w:r w:rsidRPr="00FB2901">
              <w:t>Foundation Skills essential to performance are explicit in the performance criteria of this unit of competency.</w:t>
            </w:r>
          </w:p>
        </w:tc>
      </w:tr>
    </w:tbl>
    <w:p w:rsidR="00000000" w:rsidRPr="00FB2901" w:rsidP="00FB2901">
      <w:pPr>
        <w:pStyle w:val="BodyText"/>
      </w:pPr>
    </w:p>
    <w:p w:rsidR="00000000" w:rsidRPr="00FB2901" w:rsidP="00FB2901">
      <w:pPr>
        <w:pStyle w:val="AllowPageBreak"/>
      </w:pPr>
    </w:p>
    <w:p w:rsidR="00000000" w:rsidRPr="00FB2901" w:rsidP="00FB2901">
      <w:pPr>
        <w:pStyle w:val="Heading1"/>
      </w:pPr>
      <w:bookmarkStart w:id="7" w:name="O_1142025"/>
      <w:bookmarkEnd w:id="7"/>
      <w:r w:rsidRPr="00FB29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2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Bold"/>
              <w:rPr>
                <w:lang w:val="en-NZ"/>
              </w:rPr>
            </w:pPr>
            <w:r w:rsidRPr="00FB29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Bold"/>
              <w:rPr>
                <w:lang w:val="en-NZ"/>
              </w:rPr>
            </w:pPr>
            <w:r w:rsidRPr="00FB29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Bold"/>
              <w:rPr>
                <w:lang w:val="en-NZ"/>
              </w:rPr>
            </w:pPr>
            <w:r w:rsidRPr="00FB29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Bold"/>
              <w:rPr>
                <w:lang w:val="en-NZ"/>
              </w:rPr>
            </w:pPr>
            <w:r w:rsidRPr="00FB2901">
              <w:t>Equivalence status</w:t>
            </w:r>
          </w:p>
        </w:tc>
      </w:tr>
      <w:tr w:rsidTr="00FB2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"/>
              <w:rPr>
                <w:lang w:val="en-NZ"/>
              </w:rPr>
            </w:pPr>
            <w:r w:rsidRPr="00FB2901">
              <w:t>AMPA3072 - Perform carcase Meat Hygiene Assessment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"/>
              <w:rPr>
                <w:lang w:val="en-NZ"/>
              </w:rPr>
            </w:pPr>
            <w:r w:rsidRPr="00FB2901">
              <w:t>AMPA3072 - Perform carcase Meat Hygiene Assessment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01">
            <w:pPr>
              <w:pStyle w:val="BodyText"/>
              <w:rPr>
                <w:lang w:val="en-NZ"/>
              </w:rPr>
            </w:pPr>
            <w:r w:rsidRPr="00FB2901">
              <w:t>Knowledge evidence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01" w:rsidP="00FB2901">
            <w:pPr>
              <w:pStyle w:val="BodyText"/>
            </w:pPr>
            <w:r w:rsidRPr="00FB2901">
              <w:t xml:space="preserve">Equivalent </w:t>
            </w:r>
          </w:p>
          <w:p w:rsidR="00000000" w:rsidRPr="00FB2901" w:rsidP="00FB2901">
            <w:pPr>
              <w:pStyle w:val="BodyText"/>
            </w:pPr>
          </w:p>
        </w:tc>
      </w:tr>
    </w:tbl>
    <w:p w:rsidR="00000000" w:rsidRPr="00FB2901" w:rsidP="00FB2901">
      <w:pPr>
        <w:pStyle w:val="BodyText"/>
      </w:pPr>
    </w:p>
    <w:p w:rsidR="00000000" w:rsidRPr="00FB2901" w:rsidP="00FB2901">
      <w:pPr>
        <w:pStyle w:val="AllowPageBreak"/>
      </w:pPr>
    </w:p>
    <w:p w:rsidR="00000000" w:rsidRPr="00FB2901" w:rsidP="00FB2901">
      <w:pPr>
        <w:pStyle w:val="Heading1"/>
      </w:pPr>
      <w:bookmarkStart w:id="8" w:name="O_1142033"/>
      <w:bookmarkEnd w:id="8"/>
      <w:r w:rsidRPr="00FB2901">
        <w:t>Links</w:t>
      </w:r>
    </w:p>
    <w:p w:rsidR="00000000" w:rsidRPr="00FB2901" w:rsidP="00714C25">
      <w:pPr>
        <w:pStyle w:val="BodyText"/>
      </w:pPr>
      <w:r w:rsidRPr="00FB29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27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B2901" w:rsidP="00FB2901"/>
    <w:sectPr w:rsidSect="00FB29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01" w:rsidRPr="00714C25" w:rsidP="00714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25" w:rsidP="00FB2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C25" w:rsidP="00FB2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4C25" w:rsidP="00FB2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901" w:rsidRPr="00714C25" w:rsidP="00714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25" w:rsidRPr="002D2AF8" w:rsidP="00FB2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AMPA3072 Perform carcase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14C25" w:rsidP="00FB2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901"/>
  </w:style>
  <w:style w:type="character" w:customStyle="1" w:styleId="Heading1Char">
    <w:name w:val="Heading 1 Char"/>
    <w:basedOn w:val="DefaultParagraphFont"/>
    <w:link w:val="Heading1"/>
    <w:rsid w:val="00FB2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901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FB2901"/>
    <w:rPr>
      <w:i/>
    </w:rPr>
  </w:style>
  <w:style w:type="paragraph" w:customStyle="1" w:styleId="SuperHeading">
    <w:name w:val="SuperHeading"/>
    <w:basedOn w:val="Normal"/>
    <w:rsid w:val="00FB2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2901"/>
    <w:rPr>
      <w:b/>
    </w:rPr>
  </w:style>
  <w:style w:type="character" w:customStyle="1" w:styleId="Heading2Char">
    <w:name w:val="Heading 2 Char"/>
    <w:basedOn w:val="DefaultParagraphFont"/>
    <w:link w:val="Heading2"/>
    <w:rsid w:val="00FB2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9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29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2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901"/>
    <w:rPr>
      <w:b/>
      <w:spacing w:val="0"/>
    </w:rPr>
  </w:style>
  <w:style w:type="paragraph" w:customStyle="1" w:styleId="SuperTitle">
    <w:name w:val="SuperTitle"/>
    <w:basedOn w:val="Title"/>
    <w:rsid w:val="00FB2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9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9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2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901"/>
  </w:style>
  <w:style w:type="paragraph" w:styleId="TableofFigures">
    <w:name w:val="table of figures"/>
    <w:basedOn w:val="Normal"/>
    <w:next w:val="Normal"/>
    <w:semiHidden/>
    <w:rsid w:val="00FB2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9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2901"/>
    <w:rPr>
      <w:rFonts w:ascii="Wingdings" w:hAnsi="Wingdings"/>
    </w:rPr>
  </w:style>
  <w:style w:type="paragraph" w:customStyle="1" w:styleId="TableHeading">
    <w:name w:val="Table Heading"/>
    <w:basedOn w:val="HeadingBase"/>
    <w:rsid w:val="00FB2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901"/>
    <w:rPr>
      <w:color w:val="0033CC"/>
      <w:u w:val="none"/>
    </w:rPr>
  </w:style>
  <w:style w:type="paragraph" w:customStyle="1" w:styleId="BodyTextRight">
    <w:name w:val="Body Text Right"/>
    <w:basedOn w:val="BodyText"/>
    <w:rsid w:val="00FB2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9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901"/>
    <w:rPr>
      <w:sz w:val="32"/>
    </w:rPr>
  </w:style>
  <w:style w:type="paragraph" w:customStyle="1" w:styleId="HeadingProcedure">
    <w:name w:val="Heading Procedure"/>
    <w:basedOn w:val="HeadingBase"/>
    <w:next w:val="Normal"/>
    <w:rsid w:val="00FB2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901"/>
    <w:pPr>
      <w:spacing w:before="60" w:after="60"/>
    </w:pPr>
  </w:style>
  <w:style w:type="paragraph" w:styleId="ListContinue">
    <w:name w:val="List Continue"/>
    <w:basedOn w:val="List"/>
    <w:rsid w:val="00FB2901"/>
    <w:pPr>
      <w:ind w:firstLine="0"/>
    </w:pPr>
  </w:style>
  <w:style w:type="paragraph" w:customStyle="1" w:styleId="ListNote">
    <w:name w:val="List Note"/>
    <w:basedOn w:val="List"/>
    <w:rsid w:val="00FB2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901"/>
    <w:rPr>
      <w:rFonts w:ascii="Courier New" w:hAnsi="Courier New"/>
    </w:rPr>
  </w:style>
  <w:style w:type="paragraph" w:customStyle="1" w:styleId="NoteBullet">
    <w:name w:val="Note Bullet"/>
    <w:basedOn w:val="Note"/>
    <w:rsid w:val="00FB2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9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2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901"/>
    <w:rPr>
      <w:b/>
      <w:smallCaps/>
    </w:rPr>
  </w:style>
  <w:style w:type="paragraph" w:customStyle="1" w:styleId="TableListNumber">
    <w:name w:val="Table List Number"/>
    <w:basedOn w:val="ListNumber"/>
    <w:rsid w:val="00FB2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901"/>
    <w:pPr>
      <w:numPr>
        <w:numId w:val="7"/>
      </w:numPr>
    </w:pPr>
  </w:style>
  <w:style w:type="paragraph" w:customStyle="1" w:styleId="ListAlpha2">
    <w:name w:val="List Alpha 2"/>
    <w:basedOn w:val="List2"/>
    <w:rsid w:val="00FB2901"/>
    <w:pPr>
      <w:numPr>
        <w:numId w:val="6"/>
      </w:numPr>
    </w:pPr>
  </w:style>
  <w:style w:type="paragraph" w:styleId="List2">
    <w:name w:val="List 2"/>
    <w:basedOn w:val="BodyText"/>
    <w:rsid w:val="00FB2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9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9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2901"/>
    <w:pPr>
      <w:numPr>
        <w:numId w:val="2"/>
      </w:numPr>
    </w:pPr>
  </w:style>
  <w:style w:type="paragraph" w:styleId="ListContinue2">
    <w:name w:val="List Continue 2"/>
    <w:basedOn w:val="List2"/>
    <w:rsid w:val="00FB2901"/>
    <w:pPr>
      <w:ind w:firstLine="0"/>
    </w:pPr>
  </w:style>
  <w:style w:type="paragraph" w:styleId="ListContinue3">
    <w:name w:val="List Continue 3"/>
    <w:basedOn w:val="List3"/>
    <w:rsid w:val="00FB2901"/>
    <w:pPr>
      <w:ind w:left="1021" w:firstLine="0"/>
    </w:pPr>
  </w:style>
  <w:style w:type="paragraph" w:styleId="ListContinue4">
    <w:name w:val="List Continue 4"/>
    <w:basedOn w:val="List4"/>
    <w:rsid w:val="00FB2901"/>
    <w:pPr>
      <w:ind w:firstLine="0"/>
    </w:pPr>
  </w:style>
  <w:style w:type="paragraph" w:styleId="ListContinue5">
    <w:name w:val="List Continue 5"/>
    <w:basedOn w:val="List5"/>
    <w:rsid w:val="00FB2901"/>
    <w:pPr>
      <w:ind w:firstLine="0"/>
    </w:pPr>
  </w:style>
  <w:style w:type="paragraph" w:styleId="ListNumber3">
    <w:name w:val="List Number 3"/>
    <w:basedOn w:val="List3"/>
    <w:rsid w:val="00FB2901"/>
    <w:pPr>
      <w:numPr>
        <w:numId w:val="3"/>
      </w:numPr>
    </w:pPr>
  </w:style>
  <w:style w:type="paragraph" w:styleId="ListNumber4">
    <w:name w:val="List Number 4"/>
    <w:basedOn w:val="List4"/>
    <w:rsid w:val="00FB2901"/>
    <w:pPr>
      <w:numPr>
        <w:numId w:val="4"/>
      </w:numPr>
    </w:pPr>
  </w:style>
  <w:style w:type="paragraph" w:styleId="ListNumber5">
    <w:name w:val="List Number 5"/>
    <w:basedOn w:val="List5"/>
    <w:rsid w:val="00FB2901"/>
    <w:pPr>
      <w:numPr>
        <w:numId w:val="5"/>
      </w:numPr>
    </w:pPr>
  </w:style>
  <w:style w:type="paragraph" w:styleId="BlockText">
    <w:name w:val="Block Text"/>
    <w:basedOn w:val="Normal"/>
    <w:rsid w:val="00FB2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901"/>
    <w:rPr>
      <w:sz w:val="16"/>
      <w:vertAlign w:val="superscript"/>
    </w:rPr>
  </w:style>
  <w:style w:type="character" w:customStyle="1" w:styleId="Symbols">
    <w:name w:val="Symbols"/>
    <w:basedOn w:val="DefaultParagraphFont"/>
    <w:rsid w:val="00FB2901"/>
    <w:rPr>
      <w:rFonts w:ascii="Symbol" w:hAnsi="Symbol"/>
    </w:rPr>
  </w:style>
  <w:style w:type="character" w:customStyle="1" w:styleId="MenuOptions">
    <w:name w:val="Menu Options"/>
    <w:basedOn w:val="DefaultParagraphFont"/>
    <w:rsid w:val="00FB2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901"/>
    <w:rPr>
      <w:b/>
    </w:rPr>
  </w:style>
  <w:style w:type="character" w:customStyle="1" w:styleId="Underlined">
    <w:name w:val="Underlined"/>
    <w:basedOn w:val="DefaultParagraphFont"/>
    <w:rsid w:val="00FB2901"/>
    <w:rPr>
      <w:u w:val="single"/>
    </w:rPr>
  </w:style>
  <w:style w:type="paragraph" w:customStyle="1" w:styleId="TableBodyTextRight">
    <w:name w:val="Table Body Text Right"/>
    <w:basedOn w:val="TableBodyText"/>
    <w:rsid w:val="00FB2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901"/>
    <w:rPr>
      <w:sz w:val="18"/>
    </w:rPr>
  </w:style>
  <w:style w:type="paragraph" w:customStyle="1" w:styleId="BodySmallRight">
    <w:name w:val="Body Small Right"/>
    <w:basedOn w:val="BodyTextRight"/>
    <w:rsid w:val="00FB2901"/>
    <w:rPr>
      <w:sz w:val="18"/>
      <w:szCs w:val="18"/>
    </w:rPr>
  </w:style>
  <w:style w:type="paragraph" w:customStyle="1" w:styleId="MarginEdition">
    <w:name w:val="Margin Edition"/>
    <w:basedOn w:val="MarginNote"/>
    <w:rsid w:val="00FB2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901"/>
    <w:rPr>
      <w:sz w:val="2"/>
      <w:szCs w:val="2"/>
    </w:rPr>
  </w:style>
  <w:style w:type="character" w:customStyle="1" w:styleId="Small">
    <w:name w:val="Small"/>
    <w:basedOn w:val="DefaultParagraphFont"/>
    <w:rsid w:val="00FB2901"/>
    <w:rPr>
      <w:sz w:val="16"/>
    </w:rPr>
  </w:style>
  <w:style w:type="paragraph" w:customStyle="1" w:styleId="WideTable">
    <w:name w:val="Wide Table"/>
    <w:basedOn w:val="Normal"/>
    <w:rsid w:val="00FB2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901"/>
  </w:style>
  <w:style w:type="paragraph" w:styleId="Quote">
    <w:name w:val="Quote"/>
    <w:basedOn w:val="Heading1"/>
    <w:link w:val="QuoteChar"/>
    <w:qFormat/>
    <w:rsid w:val="00FB2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901"/>
    <w:pPr>
      <w:pageBreakBefore/>
    </w:pPr>
  </w:style>
  <w:style w:type="paragraph" w:customStyle="1" w:styleId="Border">
    <w:name w:val="Border"/>
    <w:basedOn w:val="Normal"/>
    <w:qFormat/>
    <w:rsid w:val="00FB2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901"/>
    <w:rPr>
      <w:u w:val="single"/>
    </w:rPr>
  </w:style>
  <w:style w:type="character" w:customStyle="1" w:styleId="BoldandItalics">
    <w:name w:val="Bold and Italics"/>
    <w:qFormat/>
    <w:rsid w:val="00FB2901"/>
    <w:rPr>
      <w:b/>
      <w:i/>
      <w:u w:val="none"/>
    </w:rPr>
  </w:style>
  <w:style w:type="paragraph" w:styleId="BalloonText">
    <w:name w:val="Balloon Text"/>
    <w:basedOn w:val="Normal"/>
    <w:link w:val="BalloonTextChar"/>
    <w:rsid w:val="00FB2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9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4C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2699</Characters>
  <Application>Microsoft Office Word</Application>
  <DocSecurity>0</DocSecurity>
  <Lines>99</Lines>
  <Paragraphs>60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AMPA3072 Perform carcase Meat Hygiene Assessment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