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063" w:rsidP="00F72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AMPA3072 Perform carcase Meat Hygiene Assessment</w:t>
      </w:r>
      <w:r>
        <w:fldChar w:fldCharType="end"/>
      </w:r>
    </w:p>
    <w:p w:rsidR="00F72063" w:rsidP="00F72063">
      <w:pPr>
        <w:pStyle w:val="Version"/>
        <w:sectPr w:rsidSect="00EE5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520B" w:rsidP="00EE520B">
      <w:pPr>
        <w:pStyle w:val="SuperHeading"/>
      </w:pPr>
      <w:r w:rsidRPr="00EE520B">
        <w:t>AMPA3072 Perform carcase Meat Hygiene Assessment</w:t>
      </w:r>
    </w:p>
    <w:p w:rsidR="00000000" w:rsidRPr="00EE520B" w:rsidP="00EE520B">
      <w:pPr>
        <w:pStyle w:val="Heading1"/>
      </w:pPr>
      <w:bookmarkStart w:id="1" w:name="O_1142032"/>
      <w:bookmarkEnd w:id="1"/>
      <w:r w:rsidRPr="00EE52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Comments</w:t>
            </w:r>
          </w:p>
        </w:tc>
      </w:tr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>This version released with AMP Australian Meat Processing Training Package Version 5.0.</w:t>
            </w:r>
          </w:p>
        </w:tc>
      </w:tr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20B" w:rsidP="00EE520B">
            <w:pPr>
              <w:pStyle w:val="BodyText"/>
            </w:pPr>
            <w:r w:rsidRPr="00EE520B">
              <w:t>This version released with AMP Australian Meat Processing Training Package Version 2.0.</w:t>
            </w:r>
          </w:p>
        </w:tc>
      </w:tr>
    </w:tbl>
    <w:p w:rsidR="00000000" w:rsidRPr="00EE520B" w:rsidP="00EE520B">
      <w:pPr>
        <w:pStyle w:val="BodyText"/>
      </w:pPr>
    </w:p>
    <w:p w:rsidR="00000000" w:rsidRPr="00EE520B" w:rsidP="00EE520B">
      <w:pPr>
        <w:pStyle w:val="AllowPageBreak"/>
      </w:pPr>
    </w:p>
    <w:p w:rsidR="00000000" w:rsidRPr="00EE520B" w:rsidP="00EE520B">
      <w:pPr>
        <w:pStyle w:val="Heading1"/>
      </w:pPr>
      <w:bookmarkStart w:id="2" w:name="O_1142031"/>
      <w:bookmarkEnd w:id="2"/>
      <w:r w:rsidRPr="00EE520B">
        <w:t>Application</w:t>
      </w:r>
    </w:p>
    <w:p w:rsidR="00000000" w:rsidRPr="00EE520B" w:rsidP="00F72063">
      <w:pPr>
        <w:pStyle w:val="BodyText"/>
      </w:pPr>
      <w:r w:rsidRPr="00EE520B">
        <w:t>This unit describes the skills and knowledge required to monitor carcase hygiene.</w:t>
      </w:r>
    </w:p>
    <w:p w:rsidR="00000000" w:rsidRPr="00EE520B" w:rsidP="00F72063">
      <w:pPr>
        <w:pStyle w:val="BodyText"/>
      </w:pPr>
      <w:r w:rsidRPr="00EE520B">
        <w:t>This unit is applicable to workers monitoring carcase hygiene either on the slaughter floor or performing a pre-boning carcase assessment at either inte</w:t>
      </w:r>
      <w:r w:rsidRPr="00EE520B">
        <w:t>grated or independent boning rooms.</w:t>
      </w:r>
    </w:p>
    <w:p w:rsidR="00000000" w:rsidRPr="00EE520B" w:rsidP="00F72063">
      <w:pPr>
        <w:pStyle w:val="BodyText"/>
      </w:pPr>
      <w:r w:rsidRPr="00EE520B">
        <w:t>All work should be carried out to comply with workplace procedures, customer requirements and product specifications.</w:t>
      </w:r>
    </w:p>
    <w:p w:rsidR="00000000" w:rsidRPr="00EE520B" w:rsidP="00F72063">
      <w:pPr>
        <w:pStyle w:val="BodyText"/>
      </w:pPr>
      <w:r w:rsidRPr="00EE520B">
        <w:t xml:space="preserve">This unit applies to individuals who work under broad direction and take responsibility for their own </w:t>
      </w:r>
      <w:r w:rsidRPr="00EE520B">
        <w:t>work including limited responsibility for the work of others. They provide and communicate solutions to a range of predictable problems.</w:t>
      </w:r>
    </w:p>
    <w:p w:rsidR="00000000" w:rsidRPr="00EE520B" w:rsidP="00F72063">
      <w:pPr>
        <w:pStyle w:val="BodyText"/>
      </w:pPr>
      <w:r w:rsidRPr="00EE520B">
        <w:t>No licensing, legislative or certification requirements are known to apply to this unit at the time of publication.</w:t>
      </w:r>
    </w:p>
    <w:p w:rsidR="00000000" w:rsidRPr="00EE520B" w:rsidP="00F72063">
      <w:pPr>
        <w:pStyle w:val="BodyText"/>
      </w:pPr>
      <w:r w:rsidRPr="00EE520B">
        <w:t>Thi</w:t>
      </w:r>
      <w:r w:rsidRPr="00EE520B">
        <w:t>s unit must be delivered and assessed in the context of Australian meat processing standards and regulations.</w:t>
      </w:r>
    </w:p>
    <w:p w:rsidR="00000000" w:rsidRPr="00EE520B" w:rsidP="00EE520B">
      <w:pPr>
        <w:pStyle w:val="Heading1"/>
      </w:pPr>
      <w:bookmarkStart w:id="3" w:name="O_1142030"/>
      <w:bookmarkEnd w:id="3"/>
      <w:r w:rsidRPr="00EE520B">
        <w:t>Pre-requisite Unit</w:t>
      </w:r>
    </w:p>
    <w:p w:rsidR="00F72063" w:rsidP="00F72063">
      <w:pPr>
        <w:pStyle w:val="BodyText"/>
      </w:pPr>
      <w:r w:rsidRPr="00EE520B">
        <w:t>AMPX209 Sharpen knives</w:t>
      </w:r>
    </w:p>
    <w:p w:rsidR="00000000" w:rsidRPr="00EE520B" w:rsidP="00EE520B">
      <w:pPr>
        <w:pStyle w:val="Heading1"/>
      </w:pPr>
      <w:bookmarkStart w:id="4" w:name="O_1142029"/>
      <w:bookmarkEnd w:id="4"/>
      <w:r w:rsidRPr="00EE520B">
        <w:t>Unit Sector</w:t>
      </w:r>
    </w:p>
    <w:p w:rsidR="00000000" w:rsidRPr="00EE520B" w:rsidP="00EE520B">
      <w:pPr>
        <w:pStyle w:val="Heading1"/>
      </w:pPr>
      <w:bookmarkStart w:id="5" w:name="O_1142028"/>
      <w:bookmarkEnd w:id="5"/>
      <w:r w:rsidRPr="00EE52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2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Performance Criteria</w:t>
            </w:r>
          </w:p>
        </w:tc>
      </w:tr>
      <w:tr w:rsidTr="00F72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20B" w:rsidP="00EE520B">
            <w:pPr>
              <w:pStyle w:val="BodyText"/>
            </w:pPr>
            <w:r w:rsidRPr="00EE52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2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>1. Monitor carcase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20B" w:rsidP="00EE520B">
            <w:pPr>
              <w:pStyle w:val="BodyText"/>
            </w:pPr>
            <w:r w:rsidRPr="00EE520B">
              <w:t>1.1 Select samples for assessment according to the approved sampling plan for sample size and frequency</w:t>
            </w:r>
          </w:p>
          <w:p w:rsidR="00000000" w:rsidRPr="00EE520B" w:rsidP="00EE520B">
            <w:pPr>
              <w:pStyle w:val="BodyText"/>
            </w:pPr>
            <w:r w:rsidRPr="00EE520B">
              <w:t>1.2 Conduct assessment utilising appropriate facilities, lighting and time</w:t>
            </w:r>
          </w:p>
          <w:p w:rsidR="00000000" w:rsidRPr="00EE520B" w:rsidP="00EE520B">
            <w:pPr>
              <w:pStyle w:val="BodyText"/>
            </w:pPr>
            <w:r w:rsidRPr="00EE520B">
              <w:t>1.3 Monitor carcases for defects according to the agreed criteria and classif</w:t>
            </w:r>
            <w:r w:rsidRPr="00EE520B">
              <w:t>ication</w:t>
            </w:r>
          </w:p>
          <w:p w:rsidR="00000000" w:rsidRPr="00EE520B" w:rsidP="00EE520B">
            <w:pPr>
              <w:pStyle w:val="BodyText"/>
            </w:pPr>
            <w:r w:rsidRPr="00EE520B">
              <w:t>1.4 Scan carcases using the approved scanning lines</w:t>
            </w:r>
          </w:p>
          <w:p w:rsidR="00000000" w:rsidRPr="00EE520B" w:rsidP="00EE520B">
            <w:pPr>
              <w:pStyle w:val="BodyText"/>
            </w:pPr>
            <w:r w:rsidRPr="00EE520B">
              <w:t>1.5 Record defects accurately using the correct forms or electronic system</w:t>
            </w:r>
          </w:p>
          <w:p w:rsidR="00000000" w:rsidRPr="00EE520B" w:rsidP="00EE520B">
            <w:pPr>
              <w:pStyle w:val="BodyText"/>
            </w:pPr>
            <w:r w:rsidRPr="00EE520B">
              <w:t>1.6 Implement immediate corrective action according to the Meat Hygiene Assessment (MHA) program</w:t>
            </w:r>
            <w:r>
              <w:t>’</w:t>
            </w:r>
            <w:r w:rsidRPr="00EE520B">
              <w:t>s requirements</w:t>
            </w:r>
          </w:p>
          <w:p w:rsidR="00000000" w:rsidRPr="00EE520B" w:rsidP="00EE520B">
            <w:pPr>
              <w:pStyle w:val="BodyText"/>
            </w:pPr>
            <w:r w:rsidRPr="00EE520B">
              <w:t>1.7 Monit</w:t>
            </w:r>
            <w:r w:rsidRPr="00EE520B">
              <w:t>or carcases according to the workplace requirements for hygiene and sanitation, and workplace health and safety</w:t>
            </w:r>
          </w:p>
        </w:tc>
      </w:tr>
    </w:tbl>
    <w:p w:rsidR="00000000" w:rsidRPr="00EE520B" w:rsidP="00EE520B">
      <w:pPr>
        <w:pStyle w:val="BodyText"/>
      </w:pPr>
    </w:p>
    <w:p w:rsidR="00000000" w:rsidRPr="00EE520B" w:rsidP="00EE520B">
      <w:pPr>
        <w:pStyle w:val="AllowPageBreak"/>
      </w:pPr>
    </w:p>
    <w:p w:rsidR="00000000" w:rsidRPr="00EE520B" w:rsidP="00EE520B">
      <w:pPr>
        <w:pStyle w:val="Heading1"/>
      </w:pPr>
      <w:bookmarkStart w:id="6" w:name="O_1142027"/>
      <w:bookmarkEnd w:id="6"/>
      <w:r w:rsidRPr="00EE520B">
        <w:t>Foundation Skills</w:t>
      </w:r>
    </w:p>
    <w:p w:rsidR="00000000" w:rsidRPr="00F72063" w:rsidP="00F72063">
      <w:pPr>
        <w:pStyle w:val="BodyText"/>
        <w:rPr>
          <w:i/>
        </w:rPr>
      </w:pPr>
      <w:r w:rsidRPr="00F72063">
        <w:rPr>
          <w:rStyle w:val="Emphasis"/>
        </w:rPr>
        <w:t>This section describes those language, literacy, numeracy and employment skills that are essential for pe</w:t>
      </w:r>
      <w:r w:rsidRPr="00F72063">
        <w:rPr>
          <w:rStyle w:val="Emphasis"/>
        </w:rPr>
        <w:t>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Description</w:t>
            </w:r>
          </w:p>
        </w:tc>
      </w:tr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20B" w:rsidP="00EE520B">
            <w:pPr>
              <w:pStyle w:val="BodyText"/>
            </w:pPr>
            <w:r w:rsidRPr="00EE520B">
              <w:t>Foundation Skills essential to performance are explicit in the performance criteria of this unit of competency.</w:t>
            </w:r>
          </w:p>
        </w:tc>
      </w:tr>
    </w:tbl>
    <w:p w:rsidR="00000000" w:rsidRPr="00EE520B" w:rsidP="00EE520B">
      <w:pPr>
        <w:pStyle w:val="BodyText"/>
      </w:pPr>
    </w:p>
    <w:p w:rsidR="00000000" w:rsidRPr="00EE520B" w:rsidP="00EE520B">
      <w:pPr>
        <w:pStyle w:val="AllowPageBreak"/>
      </w:pPr>
    </w:p>
    <w:p w:rsidR="00000000" w:rsidRPr="00EE520B" w:rsidP="00EE520B">
      <w:pPr>
        <w:pStyle w:val="Heading1"/>
      </w:pPr>
      <w:bookmarkStart w:id="7" w:name="O_1142025"/>
      <w:bookmarkEnd w:id="7"/>
      <w:r w:rsidRPr="00EE52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Equivalence status</w:t>
            </w:r>
          </w:p>
        </w:tc>
      </w:tr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>AMPA3072 - Perform carcase Meat Hygiene Assessment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>AMPA3072 - Perform carcase Meat Hygiene Assessment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>Knowledge evidence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20B" w:rsidP="00EE520B">
            <w:pPr>
              <w:pStyle w:val="BodyText"/>
            </w:pPr>
            <w:r w:rsidRPr="00EE520B">
              <w:t xml:space="preserve">Equivalent </w:t>
            </w:r>
          </w:p>
          <w:p w:rsidR="00000000" w:rsidRPr="00EE520B" w:rsidP="00EE520B">
            <w:pPr>
              <w:pStyle w:val="BodyText"/>
            </w:pPr>
          </w:p>
        </w:tc>
      </w:tr>
    </w:tbl>
    <w:p w:rsidR="00000000" w:rsidRPr="00EE520B" w:rsidP="00EE520B">
      <w:pPr>
        <w:pStyle w:val="BodyText"/>
      </w:pPr>
    </w:p>
    <w:p w:rsidR="00000000" w:rsidRPr="00EE520B" w:rsidP="00EE520B">
      <w:pPr>
        <w:pStyle w:val="AllowPageBreak"/>
      </w:pPr>
    </w:p>
    <w:p w:rsidR="00000000" w:rsidRPr="00EE520B" w:rsidP="00EE520B">
      <w:pPr>
        <w:pStyle w:val="Heading1"/>
      </w:pPr>
      <w:bookmarkStart w:id="8" w:name="O_1142033"/>
      <w:bookmarkEnd w:id="8"/>
      <w:r w:rsidRPr="00EE520B">
        <w:t>Links</w:t>
      </w:r>
    </w:p>
    <w:p w:rsidR="00000000" w:rsidRPr="00EE520B" w:rsidP="00F72063">
      <w:pPr>
        <w:pStyle w:val="BodyText"/>
      </w:pPr>
      <w:r w:rsidRPr="00EE52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362C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E520B" w:rsidP="00F72063">
      <w:pPr>
        <w:pStyle w:val="BodyText"/>
        <w:sectPr w:rsidSect="00EE52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520B" w:rsidP="00EE520B">
      <w:pPr>
        <w:pStyle w:val="SuperHeading"/>
      </w:pPr>
      <w:r w:rsidRPr="00EE520B">
        <w:t>Assessment Requirements for AMPA3072 Perform carcase Meat Hygiene Assessment</w:t>
      </w:r>
    </w:p>
    <w:p w:rsidR="00000000" w:rsidRPr="00EE520B" w:rsidP="00EE520B">
      <w:pPr>
        <w:pStyle w:val="Heading1"/>
      </w:pPr>
      <w:bookmarkStart w:id="9" w:name="O_1142023"/>
      <w:bookmarkEnd w:id="9"/>
      <w:r w:rsidRPr="00EE52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Bold"/>
              <w:rPr>
                <w:lang w:val="en-NZ"/>
              </w:rPr>
            </w:pPr>
            <w:r w:rsidRPr="00EE520B">
              <w:t>Comments</w:t>
            </w:r>
          </w:p>
        </w:tc>
      </w:tr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 xml:space="preserve">This </w:t>
            </w:r>
            <w:r w:rsidRPr="00EE520B">
              <w:t>version released with AMP Australian Meat Processing Training Package Version 5.0.</w:t>
            </w:r>
          </w:p>
        </w:tc>
      </w:tr>
      <w:tr w:rsidTr="00EE5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20B">
            <w:pPr>
              <w:pStyle w:val="BodyText"/>
              <w:rPr>
                <w:lang w:val="en-NZ"/>
              </w:rPr>
            </w:pPr>
            <w:r w:rsidRPr="00EE52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20B" w:rsidP="00EE520B">
            <w:pPr>
              <w:pStyle w:val="BodyText"/>
            </w:pPr>
            <w:r w:rsidRPr="00EE520B">
              <w:t>This version released with AMP Australian Meat Processing Training Package Version 2.0.</w:t>
            </w:r>
          </w:p>
        </w:tc>
      </w:tr>
    </w:tbl>
    <w:p w:rsidR="00000000" w:rsidRPr="00EE520B" w:rsidP="00EE520B">
      <w:pPr>
        <w:pStyle w:val="BodyText"/>
      </w:pPr>
    </w:p>
    <w:p w:rsidR="00000000" w:rsidRPr="00EE520B" w:rsidP="00EE520B">
      <w:pPr>
        <w:pStyle w:val="AllowPageBreak"/>
      </w:pPr>
    </w:p>
    <w:p w:rsidR="00000000" w:rsidRPr="00EE520B" w:rsidP="00EE520B">
      <w:pPr>
        <w:pStyle w:val="Heading1"/>
      </w:pPr>
      <w:bookmarkStart w:id="10" w:name="O_1142022"/>
      <w:bookmarkEnd w:id="10"/>
      <w:r w:rsidRPr="00EE520B">
        <w:t>Performance Evidence</w:t>
      </w:r>
    </w:p>
    <w:p w:rsidR="00000000" w:rsidRPr="00EE520B" w:rsidP="00F72063">
      <w:pPr>
        <w:pStyle w:val="BodyText"/>
      </w:pPr>
      <w:r w:rsidRPr="00EE520B">
        <w:t>The candidate must monitor carca</w:t>
      </w:r>
      <w:r w:rsidRPr="00EE520B">
        <w:t>se hygiene.</w:t>
      </w:r>
    </w:p>
    <w:p w:rsidR="00000000" w:rsidRPr="00EE520B" w:rsidP="00F72063">
      <w:pPr>
        <w:pStyle w:val="BodyText"/>
      </w:pPr>
      <w:r w:rsidRPr="00EE520B">
        <w:t>The candidate must:</w:t>
      </w:r>
    </w:p>
    <w:p w:rsidR="00000000" w:rsidRPr="00EE520B" w:rsidP="00EE520B">
      <w:pPr>
        <w:pStyle w:val="ListBullet"/>
      </w:pPr>
      <w:r w:rsidRPr="00EE520B">
        <w:t>instigate corrective actions when appropriate</w:t>
      </w:r>
    </w:p>
    <w:p w:rsidR="00000000" w:rsidRPr="00EE520B" w:rsidP="00EE520B">
      <w:pPr>
        <w:pStyle w:val="ListBullet"/>
      </w:pPr>
      <w:r w:rsidRPr="00EE520B">
        <w:t>monitor product for defects according to the Meat Hygiene Assessment (MHA) program</w:t>
      </w:r>
    </w:p>
    <w:p w:rsidR="00000000" w:rsidRPr="00EE520B" w:rsidP="00EE520B">
      <w:pPr>
        <w:pStyle w:val="ListBullet"/>
      </w:pPr>
      <w:r w:rsidRPr="00EE520B">
        <w:t>calculate defect ratings</w:t>
      </w:r>
    </w:p>
    <w:p w:rsidR="00000000" w:rsidRPr="00EE520B" w:rsidP="00EE520B">
      <w:pPr>
        <w:pStyle w:val="ListBullet"/>
      </w:pPr>
      <w:r w:rsidRPr="00EE520B">
        <w:t>record the monitoring results accurately</w:t>
      </w:r>
    </w:p>
    <w:p w:rsidR="00000000" w:rsidRPr="00EE520B" w:rsidP="00EE520B">
      <w:pPr>
        <w:pStyle w:val="ListBullet"/>
      </w:pPr>
      <w:r w:rsidRPr="00EE520B">
        <w:t>apply communication skills relevant to work instructions and Standard Operating Procedures (SOPs)</w:t>
      </w:r>
    </w:p>
    <w:p w:rsidR="00000000" w:rsidRPr="00EE520B" w:rsidP="00EE520B">
      <w:pPr>
        <w:pStyle w:val="ListBullet"/>
      </w:pPr>
      <w:r w:rsidRPr="00EE520B">
        <w:t>apply relevant regulatory and workplace requirements.</w:t>
      </w:r>
    </w:p>
    <w:p w:rsidR="00000000" w:rsidRPr="00EE520B" w:rsidP="00EE520B">
      <w:pPr>
        <w:pStyle w:val="AllowPageBreak"/>
      </w:pPr>
    </w:p>
    <w:p w:rsidR="00000000" w:rsidRPr="00EE520B" w:rsidP="00EE520B">
      <w:pPr>
        <w:pStyle w:val="Heading1"/>
      </w:pPr>
      <w:bookmarkStart w:id="11" w:name="O_1142021"/>
      <w:bookmarkEnd w:id="11"/>
      <w:r w:rsidRPr="00EE520B">
        <w:t>Knowledge Evidence</w:t>
      </w:r>
    </w:p>
    <w:p w:rsidR="00000000" w:rsidRPr="00EE520B" w:rsidP="00F72063">
      <w:pPr>
        <w:pStyle w:val="BodyText"/>
      </w:pPr>
      <w:r w:rsidRPr="00EE520B">
        <w:t>The candidate must demonstrate a factual, technical, procedural an</w:t>
      </w:r>
      <w:r w:rsidRPr="00EE520B">
        <w:t>d theoretical knowledge of:</w:t>
      </w:r>
    </w:p>
    <w:p w:rsidR="00000000" w:rsidRPr="00EE520B" w:rsidP="00EE520B">
      <w:pPr>
        <w:pStyle w:val="ListBullet"/>
      </w:pPr>
      <w:r w:rsidRPr="00EE520B">
        <w:t>how carcase monitoring is to be undertaken</w:t>
      </w:r>
    </w:p>
    <w:p w:rsidR="00000000" w:rsidRPr="00EE520B" w:rsidP="00EE520B">
      <w:pPr>
        <w:pStyle w:val="ListBullet"/>
      </w:pPr>
      <w:r w:rsidRPr="00EE520B">
        <w:t>how defects are detected and defect ratings determined</w:t>
      </w:r>
    </w:p>
    <w:p w:rsidR="00000000" w:rsidRPr="00EE520B" w:rsidP="00EE520B">
      <w:pPr>
        <w:pStyle w:val="ListBullet"/>
      </w:pPr>
      <w:r w:rsidRPr="00EE520B">
        <w:t>hygiene and sanitation requirements when monitoring product</w:t>
      </w:r>
    </w:p>
    <w:p w:rsidR="00000000" w:rsidRPr="00EE520B" w:rsidP="00EE520B">
      <w:pPr>
        <w:pStyle w:val="ListBullet"/>
      </w:pPr>
      <w:r w:rsidRPr="00EE520B">
        <w:t>workplace health and safety requirements when monitoring product</w:t>
      </w:r>
    </w:p>
    <w:p w:rsidR="00000000" w:rsidRPr="00EE520B" w:rsidP="00EE520B">
      <w:pPr>
        <w:pStyle w:val="ListBullet"/>
      </w:pPr>
      <w:r w:rsidRPr="00EE520B">
        <w:t>type</w:t>
      </w:r>
      <w:r w:rsidRPr="00EE520B">
        <w:t>s of defects to be identified on carcase product</w:t>
      </w:r>
    </w:p>
    <w:p w:rsidR="00000000" w:rsidRPr="00EE520B" w:rsidP="00EE520B">
      <w:pPr>
        <w:pStyle w:val="ListBullet"/>
      </w:pPr>
      <w:r w:rsidRPr="00EE520B">
        <w:t>when and how corrective actions are to be taken in response to monitoring outcomes</w:t>
      </w:r>
    </w:p>
    <w:p w:rsidR="00000000" w:rsidRPr="00EE520B" w:rsidP="00EE520B">
      <w:pPr>
        <w:pStyle w:val="ListBullet"/>
      </w:pPr>
      <w:r w:rsidRPr="00EE520B">
        <w:t>how the approved sample plan is implemented for product monitoring</w:t>
      </w:r>
    </w:p>
    <w:p w:rsidR="00000000" w:rsidRPr="00EE520B" w:rsidP="00EE520B">
      <w:pPr>
        <w:pStyle w:val="ListBullet"/>
      </w:pPr>
      <w:r w:rsidRPr="00EE520B">
        <w:t>classification of defects</w:t>
      </w:r>
    </w:p>
    <w:p w:rsidR="00000000" w:rsidRPr="00EE520B" w:rsidP="00EE520B">
      <w:pPr>
        <w:pStyle w:val="ListBullet"/>
      </w:pPr>
      <w:r w:rsidRPr="00EE520B">
        <w:t>purpose of an MHA program</w:t>
      </w:r>
    </w:p>
    <w:p w:rsidR="00000000" w:rsidRPr="00EE520B" w:rsidP="00EE520B">
      <w:pPr>
        <w:pStyle w:val="ListBullet"/>
      </w:pPr>
      <w:r w:rsidRPr="00EE520B">
        <w:t>relev</w:t>
      </w:r>
      <w:r w:rsidRPr="00EE520B">
        <w:t>ant regulatory and workplace requirements.</w:t>
      </w:r>
    </w:p>
    <w:p w:rsidR="00000000" w:rsidRPr="00EE520B" w:rsidP="00EE520B">
      <w:pPr>
        <w:pStyle w:val="AllowPageBreak"/>
      </w:pPr>
    </w:p>
    <w:p w:rsidR="00000000" w:rsidRPr="00EE520B" w:rsidP="00EE520B">
      <w:pPr>
        <w:pStyle w:val="Heading1"/>
      </w:pPr>
      <w:bookmarkStart w:id="12" w:name="O_1142020"/>
      <w:bookmarkEnd w:id="12"/>
      <w:r w:rsidRPr="00EE520B">
        <w:t>Assessment Conditions</w:t>
      </w:r>
    </w:p>
    <w:p w:rsidR="00000000" w:rsidRPr="00EE520B" w:rsidP="00F72063">
      <w:pPr>
        <w:pStyle w:val="BodyText"/>
      </w:pPr>
      <w:r w:rsidRPr="00EE520B">
        <w:t xml:space="preserve">Assessment of the skills in this unit of competency must take place under the following conditions: </w:t>
      </w:r>
    </w:p>
    <w:p w:rsidR="00000000" w:rsidRPr="00EE520B" w:rsidP="00F72063">
      <w:pPr>
        <w:pStyle w:val="BodyText"/>
      </w:pPr>
      <w:r w:rsidRPr="00EE520B">
        <w:t>Competency must be demonstrated while complying with:</w:t>
      </w:r>
    </w:p>
    <w:p w:rsidR="00000000" w:rsidRPr="00EE520B" w:rsidP="00EE520B">
      <w:pPr>
        <w:pStyle w:val="ListBullet"/>
      </w:pPr>
      <w:r w:rsidRPr="00EE520B">
        <w:t>Australian Government - Agriculture and/or state meat authority regulations</w:t>
      </w:r>
    </w:p>
    <w:p w:rsidR="00000000" w:rsidRPr="00EE520B" w:rsidP="00EE520B">
      <w:pPr>
        <w:pStyle w:val="ListBullet"/>
      </w:pPr>
      <w:r w:rsidRPr="00EE520B">
        <w:t>company procedures</w:t>
      </w:r>
    </w:p>
    <w:p w:rsidR="00000000" w:rsidRPr="00EE520B" w:rsidP="00F72063">
      <w:pPr>
        <w:pStyle w:val="BodyText"/>
      </w:pPr>
      <w:r w:rsidRPr="00EE520B">
        <w:t>As a minimum, the following three forms of assessment must be used:</w:t>
      </w:r>
    </w:p>
    <w:p w:rsidR="00000000" w:rsidRPr="00EE520B" w:rsidP="00EE520B">
      <w:pPr>
        <w:pStyle w:val="ListBullet"/>
      </w:pPr>
      <w:r w:rsidRPr="00EE520B">
        <w:t>quiz of underpinning knowledge</w:t>
      </w:r>
    </w:p>
    <w:p w:rsidR="00000000" w:rsidRPr="00EE520B" w:rsidP="00EE520B">
      <w:pPr>
        <w:pStyle w:val="ListBullet"/>
      </w:pPr>
      <w:r w:rsidRPr="00EE520B">
        <w:t>workplace demonstration</w:t>
      </w:r>
    </w:p>
    <w:p w:rsidR="00000000" w:rsidRPr="00EE520B" w:rsidP="00EE520B">
      <w:pPr>
        <w:pStyle w:val="ListBullet"/>
      </w:pPr>
      <w:r w:rsidRPr="00EE520B">
        <w:t>workplace referee or third-party repo</w:t>
      </w:r>
      <w:r w:rsidRPr="00EE520B">
        <w:t>rt of performance over time</w:t>
      </w:r>
    </w:p>
    <w:p w:rsidR="00000000" w:rsidRPr="00EE520B" w:rsidP="00F72063">
      <w:pPr>
        <w:pStyle w:val="BodyText"/>
      </w:pPr>
      <w:r w:rsidRPr="00EE520B">
        <w:t>Assessors must satisfy the current standards for RTOs.</w:t>
      </w:r>
    </w:p>
    <w:p w:rsidR="00000000" w:rsidRPr="00EE520B" w:rsidP="00EE520B">
      <w:pPr>
        <w:pStyle w:val="Heading1"/>
      </w:pPr>
      <w:bookmarkStart w:id="13" w:name="O_1142034"/>
      <w:bookmarkEnd w:id="13"/>
      <w:r w:rsidRPr="00EE520B">
        <w:t>Links</w:t>
      </w:r>
    </w:p>
    <w:p w:rsidR="00000000" w:rsidRPr="00EE520B" w:rsidP="00F72063">
      <w:pPr>
        <w:pStyle w:val="BodyText"/>
      </w:pPr>
      <w:r w:rsidRPr="00EE52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362C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E520B" w:rsidP="00EE520B"/>
    <w:sectPr w:rsidSect="00EE52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0B" w:rsidRPr="00F72063" w:rsidP="00F72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63" w:rsidP="00EE5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063" w:rsidP="00EE5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2063" w:rsidP="00EE52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0B" w:rsidP="00EE5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2063">
      <w:t>Approved</w:t>
    </w:r>
    <w:r w:rsidR="00F720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20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2063">
      <w:rPr>
        <w:noProof/>
      </w:rPr>
      <w:t>4</w:t>
    </w:r>
    <w:r>
      <w:rPr>
        <w:noProof/>
      </w:rPr>
      <w:fldChar w:fldCharType="end"/>
    </w:r>
  </w:p>
  <w:p w:rsidR="00EE520B" w:rsidP="00EE5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20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2063">
      <w:t>Skills Insight</w:t>
    </w:r>
    <w:r w:rsidR="00F72063">
      <w:fldChar w:fldCharType="end"/>
    </w:r>
  </w:p>
  <w:p w:rsidR="00EE520B" w:rsidP="00EE5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20B" w:rsidRPr="00F72063" w:rsidP="00F72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63" w:rsidRPr="002D2AF8" w:rsidP="00EE5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AMPA3072 Perform carcase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2063" w:rsidP="00EE52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20B" w:rsidRPr="002D2AF8" w:rsidP="00EE5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2063">
      <w:t>AMPA3072 Perform carcase Meat Hygiene Assessment</w:t>
    </w:r>
    <w:r w:rsidR="00F720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2063">
      <w:rPr>
        <w:noProof/>
      </w:rPr>
      <w:t>2 March 2025</w:t>
    </w:r>
    <w:r>
      <w:fldChar w:fldCharType="end"/>
    </w:r>
  </w:p>
  <w:p w:rsidR="00EE520B" w:rsidP="00EE5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7C2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424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20B"/>
  </w:style>
  <w:style w:type="character" w:customStyle="1" w:styleId="Heading1Char">
    <w:name w:val="Heading 1 Char"/>
    <w:basedOn w:val="DefaultParagraphFont"/>
    <w:link w:val="Heading1"/>
    <w:rsid w:val="00EE5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2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E520B"/>
    <w:rPr>
      <w:i/>
    </w:rPr>
  </w:style>
  <w:style w:type="paragraph" w:customStyle="1" w:styleId="SuperHeading">
    <w:name w:val="SuperHeading"/>
    <w:basedOn w:val="Normal"/>
    <w:rsid w:val="00EE5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520B"/>
    <w:rPr>
      <w:b/>
    </w:rPr>
  </w:style>
  <w:style w:type="character" w:customStyle="1" w:styleId="Heading2Char">
    <w:name w:val="Heading 2 Char"/>
    <w:basedOn w:val="DefaultParagraphFont"/>
    <w:link w:val="Heading2"/>
    <w:rsid w:val="00EE5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20B"/>
    <w:rPr>
      <w:b/>
      <w:spacing w:val="0"/>
    </w:rPr>
  </w:style>
  <w:style w:type="paragraph" w:customStyle="1" w:styleId="SuperTitle">
    <w:name w:val="SuperTitle"/>
    <w:basedOn w:val="Title"/>
    <w:rsid w:val="00EE5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2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5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20B"/>
  </w:style>
  <w:style w:type="paragraph" w:styleId="TableofFigures">
    <w:name w:val="table of figures"/>
    <w:basedOn w:val="Normal"/>
    <w:next w:val="Normal"/>
    <w:semiHidden/>
    <w:rsid w:val="00EE5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520B"/>
    <w:rPr>
      <w:rFonts w:ascii="Wingdings" w:hAnsi="Wingdings"/>
    </w:rPr>
  </w:style>
  <w:style w:type="paragraph" w:customStyle="1" w:styleId="TableHeading">
    <w:name w:val="Table Heading"/>
    <w:basedOn w:val="HeadingBase"/>
    <w:rsid w:val="00EE5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20B"/>
    <w:rPr>
      <w:color w:val="0033CC"/>
      <w:u w:val="none"/>
    </w:rPr>
  </w:style>
  <w:style w:type="paragraph" w:customStyle="1" w:styleId="BodyTextRight">
    <w:name w:val="Body Text Right"/>
    <w:basedOn w:val="BodyText"/>
    <w:rsid w:val="00EE5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20B"/>
    <w:rPr>
      <w:sz w:val="32"/>
    </w:rPr>
  </w:style>
  <w:style w:type="paragraph" w:customStyle="1" w:styleId="HeadingProcedure">
    <w:name w:val="Heading Procedure"/>
    <w:basedOn w:val="HeadingBase"/>
    <w:next w:val="Normal"/>
    <w:rsid w:val="00EE5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20B"/>
    <w:pPr>
      <w:spacing w:before="60" w:after="60"/>
    </w:pPr>
  </w:style>
  <w:style w:type="paragraph" w:styleId="ListContinue">
    <w:name w:val="List Continue"/>
    <w:basedOn w:val="List"/>
    <w:rsid w:val="00EE520B"/>
    <w:pPr>
      <w:ind w:firstLine="0"/>
    </w:pPr>
  </w:style>
  <w:style w:type="paragraph" w:customStyle="1" w:styleId="ListNote">
    <w:name w:val="List Note"/>
    <w:basedOn w:val="List"/>
    <w:rsid w:val="00EE5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20B"/>
    <w:rPr>
      <w:rFonts w:ascii="Courier New" w:hAnsi="Courier New"/>
    </w:rPr>
  </w:style>
  <w:style w:type="paragraph" w:customStyle="1" w:styleId="NoteBullet">
    <w:name w:val="Note Bullet"/>
    <w:basedOn w:val="Note"/>
    <w:rsid w:val="00EE5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5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20B"/>
    <w:rPr>
      <w:b/>
      <w:smallCaps/>
    </w:rPr>
  </w:style>
  <w:style w:type="paragraph" w:customStyle="1" w:styleId="TableListNumber">
    <w:name w:val="Table List Number"/>
    <w:basedOn w:val="ListNumber"/>
    <w:rsid w:val="00EE5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20B"/>
    <w:pPr>
      <w:numPr>
        <w:numId w:val="8"/>
      </w:numPr>
    </w:pPr>
  </w:style>
  <w:style w:type="paragraph" w:customStyle="1" w:styleId="ListAlpha2">
    <w:name w:val="List Alpha 2"/>
    <w:basedOn w:val="List2"/>
    <w:rsid w:val="00EE520B"/>
    <w:pPr>
      <w:numPr>
        <w:numId w:val="7"/>
      </w:numPr>
    </w:pPr>
  </w:style>
  <w:style w:type="paragraph" w:styleId="List2">
    <w:name w:val="List 2"/>
    <w:basedOn w:val="BodyText"/>
    <w:rsid w:val="00EE5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520B"/>
    <w:pPr>
      <w:numPr>
        <w:numId w:val="3"/>
      </w:numPr>
    </w:pPr>
  </w:style>
  <w:style w:type="paragraph" w:styleId="ListContinue2">
    <w:name w:val="List Continue 2"/>
    <w:basedOn w:val="List2"/>
    <w:rsid w:val="00EE520B"/>
    <w:pPr>
      <w:ind w:firstLine="0"/>
    </w:pPr>
  </w:style>
  <w:style w:type="paragraph" w:styleId="ListContinue3">
    <w:name w:val="List Continue 3"/>
    <w:basedOn w:val="List3"/>
    <w:rsid w:val="00EE520B"/>
    <w:pPr>
      <w:ind w:left="1021" w:firstLine="0"/>
    </w:pPr>
  </w:style>
  <w:style w:type="paragraph" w:styleId="ListContinue4">
    <w:name w:val="List Continue 4"/>
    <w:basedOn w:val="List4"/>
    <w:rsid w:val="00EE520B"/>
    <w:pPr>
      <w:ind w:firstLine="0"/>
    </w:pPr>
  </w:style>
  <w:style w:type="paragraph" w:styleId="ListContinue5">
    <w:name w:val="List Continue 5"/>
    <w:basedOn w:val="List5"/>
    <w:rsid w:val="00EE520B"/>
    <w:pPr>
      <w:ind w:firstLine="0"/>
    </w:pPr>
  </w:style>
  <w:style w:type="paragraph" w:styleId="ListNumber3">
    <w:name w:val="List Number 3"/>
    <w:basedOn w:val="List3"/>
    <w:rsid w:val="00EE520B"/>
    <w:pPr>
      <w:numPr>
        <w:numId w:val="4"/>
      </w:numPr>
    </w:pPr>
  </w:style>
  <w:style w:type="paragraph" w:styleId="ListNumber4">
    <w:name w:val="List Number 4"/>
    <w:basedOn w:val="List4"/>
    <w:rsid w:val="00EE520B"/>
    <w:pPr>
      <w:numPr>
        <w:numId w:val="5"/>
      </w:numPr>
    </w:pPr>
  </w:style>
  <w:style w:type="paragraph" w:styleId="ListNumber5">
    <w:name w:val="List Number 5"/>
    <w:basedOn w:val="List5"/>
    <w:rsid w:val="00EE520B"/>
    <w:pPr>
      <w:numPr>
        <w:numId w:val="6"/>
      </w:numPr>
    </w:pPr>
  </w:style>
  <w:style w:type="paragraph" w:styleId="BlockText">
    <w:name w:val="Block Text"/>
    <w:basedOn w:val="Normal"/>
    <w:rsid w:val="00EE5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20B"/>
    <w:rPr>
      <w:sz w:val="16"/>
      <w:vertAlign w:val="superscript"/>
    </w:rPr>
  </w:style>
  <w:style w:type="character" w:customStyle="1" w:styleId="Symbols">
    <w:name w:val="Symbols"/>
    <w:basedOn w:val="DefaultParagraphFont"/>
    <w:rsid w:val="00EE520B"/>
    <w:rPr>
      <w:rFonts w:ascii="Symbol" w:hAnsi="Symbol"/>
    </w:rPr>
  </w:style>
  <w:style w:type="character" w:customStyle="1" w:styleId="MenuOptions">
    <w:name w:val="Menu Options"/>
    <w:basedOn w:val="DefaultParagraphFont"/>
    <w:rsid w:val="00EE5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20B"/>
    <w:rPr>
      <w:b/>
    </w:rPr>
  </w:style>
  <w:style w:type="character" w:customStyle="1" w:styleId="Underlined">
    <w:name w:val="Underlined"/>
    <w:basedOn w:val="DefaultParagraphFont"/>
    <w:rsid w:val="00EE520B"/>
    <w:rPr>
      <w:u w:val="single"/>
    </w:rPr>
  </w:style>
  <w:style w:type="paragraph" w:customStyle="1" w:styleId="TableBodyTextRight">
    <w:name w:val="Table Body Text Right"/>
    <w:basedOn w:val="TableBodyText"/>
    <w:rsid w:val="00EE5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20B"/>
    <w:rPr>
      <w:sz w:val="18"/>
    </w:rPr>
  </w:style>
  <w:style w:type="paragraph" w:customStyle="1" w:styleId="BodySmallRight">
    <w:name w:val="Body Small Right"/>
    <w:basedOn w:val="BodyTextRight"/>
    <w:rsid w:val="00EE520B"/>
    <w:rPr>
      <w:sz w:val="18"/>
      <w:szCs w:val="18"/>
    </w:rPr>
  </w:style>
  <w:style w:type="paragraph" w:customStyle="1" w:styleId="MarginEdition">
    <w:name w:val="Margin Edition"/>
    <w:basedOn w:val="MarginNote"/>
    <w:rsid w:val="00EE5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20B"/>
    <w:rPr>
      <w:sz w:val="2"/>
      <w:szCs w:val="2"/>
    </w:rPr>
  </w:style>
  <w:style w:type="character" w:customStyle="1" w:styleId="Small">
    <w:name w:val="Small"/>
    <w:basedOn w:val="DefaultParagraphFont"/>
    <w:rsid w:val="00EE520B"/>
    <w:rPr>
      <w:sz w:val="16"/>
    </w:rPr>
  </w:style>
  <w:style w:type="paragraph" w:customStyle="1" w:styleId="WideTable">
    <w:name w:val="Wide Table"/>
    <w:basedOn w:val="Normal"/>
    <w:rsid w:val="00EE5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20B"/>
  </w:style>
  <w:style w:type="paragraph" w:styleId="Quote">
    <w:name w:val="Quote"/>
    <w:basedOn w:val="Heading1"/>
    <w:link w:val="QuoteChar"/>
    <w:qFormat/>
    <w:rsid w:val="00EE5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20B"/>
    <w:pPr>
      <w:pageBreakBefore/>
    </w:pPr>
  </w:style>
  <w:style w:type="paragraph" w:customStyle="1" w:styleId="Border">
    <w:name w:val="Border"/>
    <w:basedOn w:val="Normal"/>
    <w:qFormat/>
    <w:rsid w:val="00EE5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20B"/>
    <w:rPr>
      <w:u w:val="single"/>
    </w:rPr>
  </w:style>
  <w:style w:type="character" w:customStyle="1" w:styleId="BoldandItalics">
    <w:name w:val="Bold and Italics"/>
    <w:qFormat/>
    <w:rsid w:val="00EE520B"/>
    <w:rPr>
      <w:b/>
      <w:i/>
      <w:u w:val="none"/>
    </w:rPr>
  </w:style>
  <w:style w:type="paragraph" w:styleId="BalloonText">
    <w:name w:val="Balloon Text"/>
    <w:basedOn w:val="Normal"/>
    <w:link w:val="BalloonTextChar"/>
    <w:rsid w:val="00EE5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2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2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4596</Characters>
  <Application>Microsoft Office Word</Application>
  <DocSecurity>0</DocSecurity>
  <Lines>158</Lines>
  <Paragraphs>108</Paragraphs>
  <ScaleCrop>false</ScaleCrop>
  <Company>Author-it Software Corporation Ltd.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AMPA3072 Perform carcase Meat Hygiene Assessment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