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0B9" w:rsidP="00D46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AMPA3051 Bone large stock carcase - hindquarter</w:t>
      </w:r>
      <w:r>
        <w:fldChar w:fldCharType="end"/>
      </w:r>
    </w:p>
    <w:p w:rsidR="00D460B9" w:rsidP="00D460B9">
      <w:pPr>
        <w:pStyle w:val="Version"/>
        <w:sectPr w:rsidSect="00DC1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1097" w:rsidP="00DC1097">
      <w:pPr>
        <w:pStyle w:val="SuperHeading"/>
      </w:pPr>
      <w:r w:rsidRPr="00DC1097">
        <w:t>AMPA3051 Bone large stock carcase - hindquarter</w:t>
      </w:r>
    </w:p>
    <w:p w:rsidR="00000000" w:rsidRPr="00DC1097" w:rsidP="00DC1097">
      <w:pPr>
        <w:pStyle w:val="Heading1"/>
      </w:pPr>
      <w:bookmarkStart w:id="1" w:name="O_1141652"/>
      <w:bookmarkEnd w:id="1"/>
      <w:r w:rsidRPr="00DC10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Comments</w:t>
            </w:r>
          </w:p>
        </w:tc>
      </w:tr>
      <w:tr w:rsidTr="00DC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This version released with AMP Australian Meat Processing Training Package Version 5.0.</w:t>
            </w:r>
          </w:p>
        </w:tc>
      </w:tr>
      <w:tr w:rsidTr="00DC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097" w:rsidP="00DC1097">
            <w:pPr>
              <w:pStyle w:val="BodyText"/>
            </w:pPr>
            <w:r w:rsidRPr="00DC1097">
              <w:t>This version released with AMP Australian Meat Processing Training Package Version 2.0.</w:t>
            </w:r>
          </w:p>
        </w:tc>
      </w:tr>
    </w:tbl>
    <w:p w:rsidR="00000000" w:rsidRPr="00DC1097" w:rsidP="00DC1097">
      <w:pPr>
        <w:pStyle w:val="BodyText"/>
      </w:pPr>
    </w:p>
    <w:p w:rsidR="00000000" w:rsidRPr="00DC1097" w:rsidP="00DC1097">
      <w:pPr>
        <w:pStyle w:val="AllowPageBreak"/>
      </w:pPr>
    </w:p>
    <w:p w:rsidR="00000000" w:rsidRPr="00DC1097" w:rsidP="00DC1097">
      <w:pPr>
        <w:pStyle w:val="Heading1"/>
      </w:pPr>
      <w:bookmarkStart w:id="2" w:name="O_1141651"/>
      <w:bookmarkEnd w:id="2"/>
      <w:r w:rsidRPr="00DC1097">
        <w:t>Application</w:t>
      </w:r>
    </w:p>
    <w:p w:rsidR="00000000" w:rsidRPr="00DC1097" w:rsidP="00D460B9">
      <w:pPr>
        <w:pStyle w:val="BodyText"/>
      </w:pPr>
      <w:r w:rsidRPr="00DC1097">
        <w:t>This unit describes the skills and knowledge required to remove primal cuts from the hindquarter of large stock carcases, including beef, horse and buffalo.</w:t>
      </w:r>
    </w:p>
    <w:p w:rsidR="00000000" w:rsidRPr="00DC1097" w:rsidP="00D460B9">
      <w:pPr>
        <w:pStyle w:val="BodyText"/>
      </w:pPr>
      <w:r w:rsidRPr="00DC1097">
        <w:t xml:space="preserve">This unit is applicable to workers in boning rooms, food service operations, </w:t>
      </w:r>
      <w:r w:rsidRPr="00DC1097">
        <w:t>smallgoods plants, wholesale and retail operations.</w:t>
      </w:r>
    </w:p>
    <w:p w:rsidR="00000000" w:rsidRPr="00DC1097" w:rsidP="00D460B9">
      <w:pPr>
        <w:pStyle w:val="BodyText"/>
      </w:pPr>
      <w:r w:rsidRPr="00DC1097">
        <w:t>All work should be carried out to comply with workplace procedures, customer requirements and product specifications.</w:t>
      </w:r>
    </w:p>
    <w:p w:rsidR="00000000" w:rsidRPr="00DC1097" w:rsidP="00D460B9">
      <w:pPr>
        <w:pStyle w:val="BodyText"/>
      </w:pPr>
      <w:r w:rsidRPr="00DC1097">
        <w:t>This unit applies to individuals who work under broad direction and take responsibilit</w:t>
      </w:r>
      <w:r w:rsidRPr="00DC1097">
        <w:t>y for their own work including limited responsibility for the work of others. They provide and communicate solutions to a range of predictable problems.</w:t>
      </w:r>
    </w:p>
    <w:p w:rsidR="00000000" w:rsidRPr="00DC1097" w:rsidP="00D460B9">
      <w:pPr>
        <w:pStyle w:val="BodyText"/>
      </w:pPr>
      <w:r w:rsidRPr="00DC1097">
        <w:t xml:space="preserve">No licensing, legislative or certification requirements are known to apply to this unit at the time of </w:t>
      </w:r>
      <w:r w:rsidRPr="00DC1097">
        <w:t>publication.</w:t>
      </w:r>
    </w:p>
    <w:p w:rsidR="00000000" w:rsidRPr="00DC1097" w:rsidP="00D460B9">
      <w:pPr>
        <w:pStyle w:val="BodyText"/>
      </w:pPr>
      <w:r w:rsidRPr="00DC1097">
        <w:t>This unit must be delivered and assessed in the context of Australian meat processing standards and regulations.</w:t>
      </w:r>
    </w:p>
    <w:p w:rsidR="00000000" w:rsidRPr="00DC1097" w:rsidP="00DC1097">
      <w:pPr>
        <w:pStyle w:val="Heading1"/>
      </w:pPr>
      <w:bookmarkStart w:id="3" w:name="O_1141650"/>
      <w:bookmarkEnd w:id="3"/>
      <w:r w:rsidRPr="00DC1097">
        <w:t>Pre-requisite Unit</w:t>
      </w:r>
    </w:p>
    <w:p w:rsidR="00000000" w:rsidRPr="00DC1097" w:rsidP="00D460B9">
      <w:pPr>
        <w:pStyle w:val="BodyText"/>
      </w:pPr>
      <w:r w:rsidRPr="00DC1097">
        <w:t>AMPX209 Sharpen knives</w:t>
      </w:r>
    </w:p>
    <w:p w:rsidR="00000000" w:rsidRPr="00DC1097" w:rsidP="00DC1097">
      <w:pPr>
        <w:pStyle w:val="Heading1"/>
      </w:pPr>
      <w:bookmarkStart w:id="4" w:name="O_1141649"/>
      <w:bookmarkEnd w:id="4"/>
      <w:r w:rsidRPr="00DC1097">
        <w:t>Unit Sector</w:t>
      </w:r>
    </w:p>
    <w:p w:rsidR="00000000" w:rsidRPr="00DC1097" w:rsidP="00DC1097">
      <w:pPr>
        <w:pStyle w:val="Heading1"/>
      </w:pPr>
      <w:bookmarkStart w:id="5" w:name="O_1141648"/>
      <w:bookmarkEnd w:id="5"/>
      <w:r w:rsidRPr="00DC10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6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Performance Criteria</w:t>
            </w:r>
          </w:p>
        </w:tc>
      </w:tr>
      <w:tr w:rsidTr="00D46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097" w:rsidP="00DC1097">
            <w:pPr>
              <w:pStyle w:val="BodyText"/>
            </w:pPr>
            <w:r w:rsidRPr="00DC10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1. Identify specifications for cuts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1.1 Identify specifications for hindquarter cuts, including those from the silverside, rumps and flanks, using cut descriptions according to regulatory requirements, customer and workplace requirements</w:t>
            </w:r>
          </w:p>
        </w:tc>
      </w:tr>
      <w:tr w:rsidTr="00D46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2. Remove primal cuts from hindquarter of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097" w:rsidP="00DC1097">
            <w:pPr>
              <w:pStyle w:val="BodyText"/>
            </w:pPr>
            <w:r w:rsidRPr="00DC1097">
              <w:t>2.1</w:t>
            </w:r>
            <w:r w:rsidRPr="00DC1097">
              <w:t xml:space="preserve"> Remove primal cuts from the hindquarter  according to  specifications</w:t>
            </w:r>
          </w:p>
          <w:p w:rsidR="00000000" w:rsidRPr="00DC1097" w:rsidP="00DC1097">
            <w:pPr>
              <w:pStyle w:val="BodyText"/>
            </w:pPr>
            <w:r w:rsidRPr="00DC1097">
              <w:t>2.2 Bone product in accordance with workplace health and safety requirements including the use of safe manual handling techniques and the safe and effective use of a knife</w:t>
            </w:r>
          </w:p>
          <w:p w:rsidR="00000000" w:rsidRPr="00DC1097" w:rsidP="00DC1097">
            <w:pPr>
              <w:pStyle w:val="BodyText"/>
            </w:pPr>
            <w:r w:rsidRPr="00DC1097">
              <w:t>2.3 Cut prima</w:t>
            </w:r>
            <w:r w:rsidRPr="00DC1097">
              <w:t>l lines in compliance with regulatory requirements</w:t>
            </w:r>
          </w:p>
          <w:p w:rsidR="00000000" w:rsidRPr="00DC1097" w:rsidP="00DC1097">
            <w:pPr>
              <w:pStyle w:val="BodyText"/>
            </w:pPr>
            <w:r w:rsidRPr="00DC1097">
              <w:t>2.4 Deal with meat safety and quality hazards according to work instruction procedures</w:t>
            </w:r>
          </w:p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2.5 Cut primals to maximise yield</w:t>
            </w:r>
          </w:p>
        </w:tc>
      </w:tr>
      <w:tr w:rsidTr="00D46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3. Identify and remove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097" w:rsidP="00DC1097">
            <w:pPr>
              <w:pStyle w:val="BodyText"/>
            </w:pPr>
            <w:r w:rsidRPr="00DC1097">
              <w:t>3.1 Trim and deal with defects and contamination acc</w:t>
            </w:r>
            <w:r w:rsidRPr="00DC1097">
              <w:t>ording to workplace requirements</w:t>
            </w:r>
          </w:p>
          <w:p w:rsidR="00000000" w:rsidRPr="00DC1097" w:rsidP="00DC1097">
            <w:pPr>
              <w:pStyle w:val="BodyText"/>
            </w:pPr>
            <w:r w:rsidRPr="00DC1097">
              <w:t>3.2 Report persistent defects to supervisors in accordance with work instructions</w:t>
            </w:r>
          </w:p>
        </w:tc>
      </w:tr>
    </w:tbl>
    <w:p w:rsidR="00D460B9" w:rsidP="00DC1097">
      <w:pPr>
        <w:pStyle w:val="BodyText"/>
      </w:pPr>
    </w:p>
    <w:p w:rsidR="00D460B9" w:rsidP="00DC1097">
      <w:pPr>
        <w:pStyle w:val="BodyText"/>
      </w:pPr>
    </w:p>
    <w:p w:rsidR="00000000" w:rsidRPr="00DC1097" w:rsidP="00DC1097">
      <w:pPr>
        <w:pStyle w:val="Heading1"/>
      </w:pPr>
      <w:bookmarkStart w:id="6" w:name="O_1141647"/>
      <w:bookmarkEnd w:id="6"/>
      <w:r w:rsidRPr="00DC1097">
        <w:t>Foundation Skills</w:t>
      </w:r>
    </w:p>
    <w:p w:rsidR="00000000" w:rsidRPr="00D460B9" w:rsidP="00D460B9">
      <w:pPr>
        <w:pStyle w:val="BodyText"/>
        <w:rPr>
          <w:i/>
        </w:rPr>
      </w:pPr>
      <w:r w:rsidRPr="00D460B9">
        <w:rPr>
          <w:rStyle w:val="Emphasis"/>
        </w:rPr>
        <w:t>This section describes those language, literacy, numeracy and employment skills that are essential fo</w:t>
      </w:r>
      <w:r w:rsidRPr="00D460B9">
        <w:rPr>
          <w:rStyle w:val="Emphasis"/>
        </w:rPr>
        <w:t>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DC109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Description</w:t>
            </w:r>
          </w:p>
        </w:tc>
      </w:tr>
      <w:tr w:rsidTr="00DC109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097" w:rsidP="00DC1097">
            <w:pPr>
              <w:pStyle w:val="BodyText"/>
            </w:pPr>
            <w:r w:rsidRPr="00DC1097">
              <w:t>Foundation Skills essential to performance are explicit in the performance criteria of this unit of competency.</w:t>
            </w:r>
          </w:p>
        </w:tc>
      </w:tr>
    </w:tbl>
    <w:p w:rsidR="00000000" w:rsidRPr="00DC1097" w:rsidP="00DC1097">
      <w:pPr>
        <w:pStyle w:val="BodyText"/>
      </w:pPr>
    </w:p>
    <w:p w:rsidR="00000000" w:rsidRPr="00DC1097" w:rsidP="00DC1097">
      <w:pPr>
        <w:pStyle w:val="AllowPageBreak"/>
      </w:pPr>
    </w:p>
    <w:p w:rsidR="00000000" w:rsidRPr="00DC1097" w:rsidP="00DC1097">
      <w:pPr>
        <w:pStyle w:val="Heading1"/>
      </w:pPr>
      <w:bookmarkStart w:id="7" w:name="O_1141645"/>
      <w:bookmarkEnd w:id="7"/>
      <w:r w:rsidRPr="00DC10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Bold"/>
              <w:rPr>
                <w:lang w:val="en-NZ"/>
              </w:rPr>
            </w:pPr>
            <w:r w:rsidRPr="00DC1097">
              <w:t>Equivalence status</w:t>
            </w:r>
          </w:p>
        </w:tc>
      </w:tr>
      <w:tr w:rsidTr="00DC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AMPA3051 Bone large stock carcase - hindquarter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AMPA3051 Bone large stock carcase - hindquarter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097">
            <w:pPr>
              <w:pStyle w:val="BodyText"/>
              <w:rPr>
                <w:lang w:val="en-NZ"/>
              </w:rPr>
            </w:pPr>
            <w:r w:rsidRPr="00DC1097">
              <w:t>Minor wording change made to PC 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097" w:rsidP="00DC1097">
            <w:pPr>
              <w:pStyle w:val="BodyText"/>
            </w:pPr>
            <w:r w:rsidRPr="00DC1097">
              <w:t>Equivalent</w:t>
            </w:r>
          </w:p>
        </w:tc>
      </w:tr>
    </w:tbl>
    <w:p w:rsidR="00000000" w:rsidRPr="00DC1097" w:rsidP="00DC1097">
      <w:pPr>
        <w:pStyle w:val="BodyText"/>
      </w:pPr>
    </w:p>
    <w:p w:rsidR="00000000" w:rsidRPr="00DC1097" w:rsidP="00DC1097">
      <w:pPr>
        <w:pStyle w:val="AllowPageBreak"/>
      </w:pPr>
    </w:p>
    <w:p w:rsidR="00000000" w:rsidRPr="00DC1097" w:rsidP="00DC1097">
      <w:pPr>
        <w:pStyle w:val="Heading1"/>
      </w:pPr>
      <w:bookmarkStart w:id="8" w:name="O_1141653"/>
      <w:bookmarkEnd w:id="8"/>
      <w:r w:rsidRPr="00DC1097">
        <w:t>Links</w:t>
      </w:r>
    </w:p>
    <w:p w:rsidR="00000000" w:rsidRPr="00DC1097" w:rsidP="00D460B9">
      <w:pPr>
        <w:pStyle w:val="BodyText"/>
      </w:pPr>
      <w:r w:rsidRPr="00DC10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924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C1097" w:rsidP="00DC1097"/>
    <w:sectPr w:rsidSect="00DC1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97" w:rsidRPr="00D460B9" w:rsidP="00D46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9" w:rsidP="00DC1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0B9" w:rsidP="00DC1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60B9" w:rsidP="00DC1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097" w:rsidRPr="00D460B9" w:rsidP="00D46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B9" w:rsidRPr="002D2AF8" w:rsidP="00DC1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AMPA3051 Bone large stock carcase - hindquarter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460B9" w:rsidP="00DC1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097"/>
  </w:style>
  <w:style w:type="character" w:customStyle="1" w:styleId="Heading1Char">
    <w:name w:val="Heading 1 Char"/>
    <w:basedOn w:val="DefaultParagraphFont"/>
    <w:link w:val="Heading1"/>
    <w:rsid w:val="00DC1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09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C1097"/>
    <w:rPr>
      <w:i/>
    </w:rPr>
  </w:style>
  <w:style w:type="paragraph" w:customStyle="1" w:styleId="SuperHeading">
    <w:name w:val="SuperHeading"/>
    <w:basedOn w:val="Normal"/>
    <w:rsid w:val="00DC1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1097"/>
    <w:rPr>
      <w:b/>
    </w:rPr>
  </w:style>
  <w:style w:type="character" w:customStyle="1" w:styleId="Heading2Char">
    <w:name w:val="Heading 2 Char"/>
    <w:basedOn w:val="DefaultParagraphFont"/>
    <w:link w:val="Heading2"/>
    <w:rsid w:val="00DC1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0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0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1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097"/>
    <w:rPr>
      <w:b/>
      <w:spacing w:val="0"/>
    </w:rPr>
  </w:style>
  <w:style w:type="paragraph" w:customStyle="1" w:styleId="SuperTitle">
    <w:name w:val="SuperTitle"/>
    <w:basedOn w:val="Title"/>
    <w:rsid w:val="00DC1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0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0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097"/>
  </w:style>
  <w:style w:type="paragraph" w:styleId="TableofFigures">
    <w:name w:val="table of figures"/>
    <w:basedOn w:val="Normal"/>
    <w:next w:val="Normal"/>
    <w:semiHidden/>
    <w:rsid w:val="00DC1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0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C1097"/>
    <w:rPr>
      <w:rFonts w:ascii="Wingdings" w:hAnsi="Wingdings"/>
    </w:rPr>
  </w:style>
  <w:style w:type="paragraph" w:customStyle="1" w:styleId="TableHeading">
    <w:name w:val="Table Heading"/>
    <w:basedOn w:val="HeadingBase"/>
    <w:rsid w:val="00DC1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097"/>
    <w:rPr>
      <w:color w:val="0033CC"/>
      <w:u w:val="none"/>
    </w:rPr>
  </w:style>
  <w:style w:type="paragraph" w:customStyle="1" w:styleId="BodyTextRight">
    <w:name w:val="Body Text Right"/>
    <w:basedOn w:val="BodyText"/>
    <w:rsid w:val="00DC1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0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097"/>
    <w:rPr>
      <w:sz w:val="32"/>
    </w:rPr>
  </w:style>
  <w:style w:type="paragraph" w:customStyle="1" w:styleId="HeadingProcedure">
    <w:name w:val="Heading Procedure"/>
    <w:basedOn w:val="HeadingBase"/>
    <w:next w:val="Normal"/>
    <w:rsid w:val="00DC1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097"/>
    <w:pPr>
      <w:spacing w:before="60" w:after="60"/>
    </w:pPr>
  </w:style>
  <w:style w:type="paragraph" w:styleId="ListContinue">
    <w:name w:val="List Continue"/>
    <w:basedOn w:val="List"/>
    <w:rsid w:val="00DC1097"/>
    <w:pPr>
      <w:ind w:firstLine="0"/>
    </w:pPr>
  </w:style>
  <w:style w:type="paragraph" w:customStyle="1" w:styleId="ListNote">
    <w:name w:val="List Note"/>
    <w:basedOn w:val="List"/>
    <w:rsid w:val="00DC1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097"/>
    <w:rPr>
      <w:rFonts w:ascii="Courier New" w:hAnsi="Courier New"/>
    </w:rPr>
  </w:style>
  <w:style w:type="paragraph" w:customStyle="1" w:styleId="NoteBullet">
    <w:name w:val="Note Bullet"/>
    <w:basedOn w:val="Note"/>
    <w:rsid w:val="00DC1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0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C1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097"/>
    <w:rPr>
      <w:b/>
      <w:smallCaps/>
    </w:rPr>
  </w:style>
  <w:style w:type="paragraph" w:customStyle="1" w:styleId="TableListNumber">
    <w:name w:val="Table List Number"/>
    <w:basedOn w:val="ListNumber"/>
    <w:rsid w:val="00DC1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097"/>
    <w:pPr>
      <w:numPr>
        <w:numId w:val="7"/>
      </w:numPr>
    </w:pPr>
  </w:style>
  <w:style w:type="paragraph" w:customStyle="1" w:styleId="ListAlpha2">
    <w:name w:val="List Alpha 2"/>
    <w:basedOn w:val="List2"/>
    <w:rsid w:val="00DC1097"/>
    <w:pPr>
      <w:numPr>
        <w:numId w:val="6"/>
      </w:numPr>
    </w:pPr>
  </w:style>
  <w:style w:type="paragraph" w:styleId="List2">
    <w:name w:val="List 2"/>
    <w:basedOn w:val="BodyText"/>
    <w:rsid w:val="00DC1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0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0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1097"/>
    <w:pPr>
      <w:numPr>
        <w:numId w:val="2"/>
      </w:numPr>
    </w:pPr>
  </w:style>
  <w:style w:type="paragraph" w:styleId="ListContinue2">
    <w:name w:val="List Continue 2"/>
    <w:basedOn w:val="List2"/>
    <w:rsid w:val="00DC1097"/>
    <w:pPr>
      <w:ind w:firstLine="0"/>
    </w:pPr>
  </w:style>
  <w:style w:type="paragraph" w:styleId="ListContinue3">
    <w:name w:val="List Continue 3"/>
    <w:basedOn w:val="List3"/>
    <w:rsid w:val="00DC1097"/>
    <w:pPr>
      <w:ind w:left="1021" w:firstLine="0"/>
    </w:pPr>
  </w:style>
  <w:style w:type="paragraph" w:styleId="ListContinue4">
    <w:name w:val="List Continue 4"/>
    <w:basedOn w:val="List4"/>
    <w:rsid w:val="00DC1097"/>
    <w:pPr>
      <w:ind w:firstLine="0"/>
    </w:pPr>
  </w:style>
  <w:style w:type="paragraph" w:styleId="ListContinue5">
    <w:name w:val="List Continue 5"/>
    <w:basedOn w:val="List5"/>
    <w:rsid w:val="00DC1097"/>
    <w:pPr>
      <w:ind w:firstLine="0"/>
    </w:pPr>
  </w:style>
  <w:style w:type="paragraph" w:styleId="ListNumber3">
    <w:name w:val="List Number 3"/>
    <w:basedOn w:val="List3"/>
    <w:rsid w:val="00DC1097"/>
    <w:pPr>
      <w:numPr>
        <w:numId w:val="3"/>
      </w:numPr>
    </w:pPr>
  </w:style>
  <w:style w:type="paragraph" w:styleId="ListNumber4">
    <w:name w:val="List Number 4"/>
    <w:basedOn w:val="List4"/>
    <w:rsid w:val="00DC1097"/>
    <w:pPr>
      <w:numPr>
        <w:numId w:val="4"/>
      </w:numPr>
    </w:pPr>
  </w:style>
  <w:style w:type="paragraph" w:styleId="ListNumber5">
    <w:name w:val="List Number 5"/>
    <w:basedOn w:val="List5"/>
    <w:rsid w:val="00DC1097"/>
    <w:pPr>
      <w:numPr>
        <w:numId w:val="5"/>
      </w:numPr>
    </w:pPr>
  </w:style>
  <w:style w:type="paragraph" w:styleId="BlockText">
    <w:name w:val="Block Text"/>
    <w:basedOn w:val="Normal"/>
    <w:rsid w:val="00DC1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097"/>
    <w:rPr>
      <w:sz w:val="16"/>
      <w:vertAlign w:val="superscript"/>
    </w:rPr>
  </w:style>
  <w:style w:type="character" w:customStyle="1" w:styleId="Symbols">
    <w:name w:val="Symbols"/>
    <w:basedOn w:val="DefaultParagraphFont"/>
    <w:rsid w:val="00DC1097"/>
    <w:rPr>
      <w:rFonts w:ascii="Symbol" w:hAnsi="Symbol"/>
    </w:rPr>
  </w:style>
  <w:style w:type="character" w:customStyle="1" w:styleId="MenuOptions">
    <w:name w:val="Menu Options"/>
    <w:basedOn w:val="DefaultParagraphFont"/>
    <w:rsid w:val="00DC1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097"/>
    <w:rPr>
      <w:b/>
    </w:rPr>
  </w:style>
  <w:style w:type="character" w:customStyle="1" w:styleId="Underlined">
    <w:name w:val="Underlined"/>
    <w:basedOn w:val="DefaultParagraphFont"/>
    <w:rsid w:val="00DC1097"/>
    <w:rPr>
      <w:u w:val="single"/>
    </w:rPr>
  </w:style>
  <w:style w:type="paragraph" w:customStyle="1" w:styleId="TableBodyTextRight">
    <w:name w:val="Table Body Text Right"/>
    <w:basedOn w:val="TableBodyText"/>
    <w:rsid w:val="00DC1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097"/>
    <w:rPr>
      <w:sz w:val="18"/>
    </w:rPr>
  </w:style>
  <w:style w:type="paragraph" w:customStyle="1" w:styleId="BodySmallRight">
    <w:name w:val="Body Small Right"/>
    <w:basedOn w:val="BodyTextRight"/>
    <w:rsid w:val="00DC1097"/>
    <w:rPr>
      <w:sz w:val="18"/>
      <w:szCs w:val="18"/>
    </w:rPr>
  </w:style>
  <w:style w:type="paragraph" w:customStyle="1" w:styleId="MarginEdition">
    <w:name w:val="Margin Edition"/>
    <w:basedOn w:val="MarginNote"/>
    <w:rsid w:val="00DC1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097"/>
    <w:rPr>
      <w:sz w:val="2"/>
      <w:szCs w:val="2"/>
    </w:rPr>
  </w:style>
  <w:style w:type="character" w:customStyle="1" w:styleId="Small">
    <w:name w:val="Small"/>
    <w:basedOn w:val="DefaultParagraphFont"/>
    <w:rsid w:val="00DC1097"/>
    <w:rPr>
      <w:sz w:val="16"/>
    </w:rPr>
  </w:style>
  <w:style w:type="paragraph" w:customStyle="1" w:styleId="WideTable">
    <w:name w:val="Wide Table"/>
    <w:basedOn w:val="Normal"/>
    <w:rsid w:val="00DC1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097"/>
  </w:style>
  <w:style w:type="paragraph" w:styleId="Quote">
    <w:name w:val="Quote"/>
    <w:basedOn w:val="Heading1"/>
    <w:link w:val="QuoteChar"/>
    <w:qFormat/>
    <w:rsid w:val="00DC1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097"/>
    <w:pPr>
      <w:pageBreakBefore/>
    </w:pPr>
  </w:style>
  <w:style w:type="paragraph" w:customStyle="1" w:styleId="Border">
    <w:name w:val="Border"/>
    <w:basedOn w:val="Normal"/>
    <w:qFormat/>
    <w:rsid w:val="00DC1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097"/>
    <w:rPr>
      <w:u w:val="single"/>
    </w:rPr>
  </w:style>
  <w:style w:type="character" w:customStyle="1" w:styleId="BoldandItalics">
    <w:name w:val="Bold and Italics"/>
    <w:qFormat/>
    <w:rsid w:val="00DC1097"/>
    <w:rPr>
      <w:b/>
      <w:i/>
      <w:u w:val="none"/>
    </w:rPr>
  </w:style>
  <w:style w:type="paragraph" w:styleId="BalloonText">
    <w:name w:val="Balloon Text"/>
    <w:basedOn w:val="Normal"/>
    <w:link w:val="BalloonTextChar"/>
    <w:rsid w:val="00DC1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0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6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2922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AMPA3051 Bone large stock carcase - hindquarter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