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BB4" w:rsidP="00856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AMPA3043 Prepare head for inspection</w:t>
      </w:r>
      <w:r>
        <w:fldChar w:fldCharType="end"/>
      </w:r>
    </w:p>
    <w:p w:rsidR="00856BB4" w:rsidP="00856BB4">
      <w:pPr>
        <w:pStyle w:val="Version"/>
        <w:sectPr w:rsidSect="00A121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112" w:rsidP="00A12112">
      <w:pPr>
        <w:pStyle w:val="SuperHeading"/>
      </w:pPr>
      <w:r w:rsidRPr="00A12112">
        <w:t>AMPA3043 Prepare head for inspection</w:t>
      </w:r>
    </w:p>
    <w:p w:rsidR="00000000" w:rsidRPr="00A12112" w:rsidP="00A12112">
      <w:pPr>
        <w:pStyle w:val="Heading1"/>
      </w:pPr>
      <w:bookmarkStart w:id="1" w:name="O_897385"/>
      <w:bookmarkEnd w:id="1"/>
      <w:r w:rsidRPr="00A121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TableHeading"/>
              <w:rPr>
                <w:lang w:val="en-NZ"/>
              </w:rPr>
            </w:pPr>
            <w:r w:rsidRPr="00A121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TableHeading"/>
              <w:rPr>
                <w:lang w:val="en-NZ"/>
              </w:rPr>
            </w:pPr>
            <w:r w:rsidRPr="00A121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TableHeading"/>
              <w:rPr>
                <w:lang w:val="en-NZ"/>
              </w:rPr>
            </w:pPr>
            <w:r w:rsidRPr="00A12112">
              <w:t>Comment</w:t>
            </w:r>
          </w:p>
        </w:tc>
      </w:tr>
      <w:tr w:rsidTr="00A1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BodyText"/>
              <w:rPr>
                <w:lang w:val="en-NZ"/>
              </w:rPr>
            </w:pPr>
            <w:r w:rsidRPr="00A121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BodyText"/>
              <w:rPr>
                <w:lang w:val="en-NZ"/>
              </w:rPr>
            </w:pPr>
            <w:r w:rsidRPr="00A1211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12" w:rsidP="00A12112">
            <w:pPr>
              <w:pStyle w:val="BodyText"/>
            </w:pPr>
            <w:r w:rsidRPr="00A12112">
              <w:t>Initial release</w:t>
            </w:r>
          </w:p>
        </w:tc>
      </w:tr>
    </w:tbl>
    <w:p w:rsidR="00000000" w:rsidRPr="00A12112" w:rsidP="00A12112">
      <w:pPr>
        <w:pStyle w:val="BodyText"/>
      </w:pPr>
    </w:p>
    <w:p w:rsidR="00000000" w:rsidRPr="00A12112" w:rsidP="00A12112">
      <w:pPr>
        <w:pStyle w:val="AllowPageBreak"/>
      </w:pPr>
    </w:p>
    <w:p w:rsidR="00000000" w:rsidRPr="00A12112" w:rsidP="00A12112">
      <w:pPr>
        <w:pStyle w:val="Heading1"/>
      </w:pPr>
      <w:bookmarkStart w:id="2" w:name="O_897386"/>
      <w:bookmarkEnd w:id="2"/>
      <w:r w:rsidRPr="00A12112">
        <w:t>Application</w:t>
      </w:r>
    </w:p>
    <w:p w:rsidR="00000000" w:rsidRPr="00A12112" w:rsidP="00856BB4">
      <w:pPr>
        <w:pStyle w:val="BodyText"/>
      </w:pPr>
      <w:r w:rsidRPr="00A12112">
        <w:t>This unit describes the skills and knowledge required to prepare a head for inspection by exposing the required glands and lymph nodes.</w:t>
      </w:r>
    </w:p>
    <w:p w:rsidR="00000000" w:rsidRPr="00A12112" w:rsidP="00856BB4">
      <w:pPr>
        <w:pStyle w:val="BodyText"/>
      </w:pPr>
      <w:r w:rsidRPr="00A12112">
        <w:t>This unit is applicable to those preparing heads for inspection by specifically exposing nominated glands.</w:t>
      </w:r>
    </w:p>
    <w:p w:rsidR="00000000" w:rsidRPr="00A12112" w:rsidP="00856BB4">
      <w:pPr>
        <w:pStyle w:val="BodyText"/>
      </w:pPr>
      <w:r w:rsidRPr="00A12112">
        <w:t>All work should be carried out to comply with workplace procedures, customer requirements and product specifications.</w:t>
      </w:r>
    </w:p>
    <w:p w:rsidR="00000000" w:rsidRPr="00A12112" w:rsidP="00856BB4">
      <w:pPr>
        <w:pStyle w:val="BodyText"/>
      </w:pPr>
      <w:r w:rsidRPr="00A12112">
        <w:t>This unit applies to individu</w:t>
      </w:r>
      <w:r w:rsidRPr="00A12112">
        <w:t>als who work under broad direction and take responsibility for their own work including limited responsibility for the work of others. They provide and communicate solutions to a range of predictable problems.</w:t>
      </w:r>
    </w:p>
    <w:p w:rsidR="00000000" w:rsidRPr="00A12112" w:rsidP="00856BB4">
      <w:pPr>
        <w:pStyle w:val="BodyText"/>
      </w:pPr>
      <w:r w:rsidRPr="00A12112">
        <w:t>No occupational licensing, legislative or cer</w:t>
      </w:r>
      <w:r w:rsidRPr="00A12112">
        <w:t>tification requirements are known to apply to this unit at the time of publication.</w:t>
      </w:r>
    </w:p>
    <w:p w:rsidR="00000000" w:rsidRPr="00A12112" w:rsidP="00856BB4">
      <w:pPr>
        <w:pStyle w:val="BodyText"/>
      </w:pPr>
      <w:r w:rsidRPr="00A12112">
        <w:t>This unit must be delivered and assessed in the context of Australian meat processing standards and regulations.</w:t>
      </w:r>
    </w:p>
    <w:p w:rsidR="00000000" w:rsidRPr="00A12112" w:rsidP="00A12112">
      <w:pPr>
        <w:pStyle w:val="Heading1"/>
      </w:pPr>
      <w:bookmarkStart w:id="3" w:name="O_897387"/>
      <w:bookmarkEnd w:id="3"/>
      <w:r w:rsidRPr="00A12112">
        <w:t>Pre-requisite Unit</w:t>
      </w:r>
    </w:p>
    <w:p w:rsidR="00000000" w:rsidRPr="00A12112" w:rsidP="00856BB4">
      <w:pPr>
        <w:pStyle w:val="BodyText"/>
      </w:pPr>
      <w:r w:rsidRPr="00A12112">
        <w:t>AMPX209 Sharpen knives</w:t>
      </w:r>
      <w:r w:rsidRPr="00A12112">
        <w:t xml:space="preserve"> </w:t>
      </w:r>
    </w:p>
    <w:p w:rsidR="00000000" w:rsidRPr="00A12112" w:rsidP="00A12112">
      <w:pPr>
        <w:pStyle w:val="Heading1"/>
      </w:pPr>
      <w:bookmarkStart w:id="4" w:name="O_897389"/>
      <w:bookmarkEnd w:id="4"/>
      <w:r w:rsidRPr="00A12112">
        <w:t>Unit Sector</w:t>
      </w:r>
    </w:p>
    <w:p w:rsidR="00000000" w:rsidRPr="00A12112" w:rsidP="00A12112">
      <w:pPr>
        <w:pStyle w:val="Heading1"/>
      </w:pPr>
      <w:bookmarkStart w:id="5" w:name="O_897390"/>
      <w:bookmarkEnd w:id="5"/>
      <w:r w:rsidRPr="00A12112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56B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TableHeading"/>
              <w:rPr>
                <w:lang w:val="en-NZ"/>
              </w:rPr>
            </w:pPr>
            <w:r w:rsidRPr="00A12112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TableHeading"/>
              <w:rPr>
                <w:lang w:val="en-NZ"/>
              </w:rPr>
            </w:pPr>
            <w:r w:rsidRPr="00A12112">
              <w:t>Performance criteria</w:t>
            </w:r>
          </w:p>
        </w:tc>
      </w:tr>
      <w:tr w:rsidTr="00856B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BodyText"/>
              <w:rPr>
                <w:lang w:val="en-NZ"/>
              </w:rPr>
            </w:pPr>
            <w:r w:rsidRPr="00A12112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BodyText"/>
              <w:rPr>
                <w:lang w:val="en-NZ"/>
              </w:rPr>
            </w:pPr>
            <w:r w:rsidRPr="00A12112">
              <w:t>Performance criteria describe the performance needed to demonstrate achievement of the element.</w:t>
            </w:r>
          </w:p>
        </w:tc>
      </w:tr>
      <w:tr w:rsidTr="00856BB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List"/>
              <w:rPr>
                <w:lang w:val="en-NZ"/>
              </w:rPr>
            </w:pPr>
            <w:r w:rsidRPr="00A12112">
              <w:t>1.</w:t>
            </w:r>
            <w:r w:rsidRPr="00A12112">
              <w:tab/>
            </w:r>
            <w:r w:rsidRPr="00A12112">
              <w:t>Prepare heads for inspection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12" w:rsidP="00A12112">
            <w:pPr>
              <w:pStyle w:val="List"/>
            </w:pPr>
            <w:r w:rsidRPr="00A12112">
              <w:t>1.1</w:t>
            </w:r>
            <w:r w:rsidRPr="00A12112">
              <w:tab/>
              <w:t>Identify glands and lymph nodes to be exposed</w:t>
            </w:r>
          </w:p>
          <w:p w:rsidR="00000000" w:rsidRPr="00A12112" w:rsidP="00A12112">
            <w:pPr>
              <w:pStyle w:val="List"/>
            </w:pPr>
            <w:r w:rsidRPr="00A12112">
              <w:t>1.2</w:t>
            </w:r>
            <w:r w:rsidRPr="00A12112">
              <w:tab/>
              <w:t>Cut away tissue to expose glands and lymph nodes in accordance with work instructions and regulatory requirements</w:t>
            </w:r>
          </w:p>
          <w:p w:rsidR="00000000" w:rsidRPr="00A12112" w:rsidP="00A12112">
            <w:pPr>
              <w:pStyle w:val="List"/>
            </w:pPr>
            <w:r w:rsidRPr="00A12112">
              <w:t>1.3</w:t>
            </w:r>
            <w:r w:rsidRPr="00A12112">
              <w:tab/>
              <w:t>Identify and minimise sources of potential contaminatio</w:t>
            </w:r>
            <w:r w:rsidRPr="00A12112">
              <w:t>n and cross-contamination</w:t>
            </w:r>
          </w:p>
          <w:p w:rsidR="00000000" w:rsidRPr="00A12112" w:rsidP="00A12112">
            <w:pPr>
              <w:pStyle w:val="List"/>
            </w:pPr>
            <w:r w:rsidRPr="00A12112">
              <w:t>1.4</w:t>
            </w:r>
            <w:r w:rsidRPr="00A12112">
              <w:tab/>
              <w:t>Identify and follow workplace health and safety requirements for the preparation of heads for inspection</w:t>
            </w:r>
          </w:p>
        </w:tc>
      </w:tr>
    </w:tbl>
    <w:p w:rsidR="00000000" w:rsidRPr="00A12112" w:rsidP="00A12112">
      <w:pPr>
        <w:pStyle w:val="BodyText"/>
      </w:pPr>
    </w:p>
    <w:p w:rsidR="00000000" w:rsidRPr="00A12112" w:rsidP="00A12112">
      <w:pPr>
        <w:pStyle w:val="AllowPageBreak"/>
      </w:pPr>
    </w:p>
    <w:p w:rsidR="00000000" w:rsidRPr="00A12112" w:rsidP="00A12112">
      <w:pPr>
        <w:pStyle w:val="Heading1"/>
      </w:pPr>
      <w:bookmarkStart w:id="6" w:name="O_897391"/>
      <w:bookmarkEnd w:id="6"/>
      <w:r w:rsidRPr="00A12112">
        <w:t>Foundation Skills</w:t>
      </w:r>
    </w:p>
    <w:p w:rsidR="00000000" w:rsidRPr="00A12112" w:rsidP="00856BB4">
      <w:pPr>
        <w:pStyle w:val="BodyText"/>
      </w:pPr>
      <w:r w:rsidRPr="00A12112">
        <w:t>Foundation Skills essential to performance are explicit in the performance criteria of this unit of competency.</w:t>
      </w:r>
    </w:p>
    <w:p w:rsidR="00000000" w:rsidRPr="00A12112" w:rsidP="00A12112">
      <w:pPr>
        <w:pStyle w:val="Heading1"/>
      </w:pPr>
      <w:bookmarkStart w:id="7" w:name="O_897392"/>
      <w:bookmarkEnd w:id="7"/>
      <w:r w:rsidRPr="00A12112">
        <w:t>Range of Conditions</w:t>
      </w:r>
    </w:p>
    <w:p w:rsidR="00000000" w:rsidRPr="00A12112" w:rsidP="00A12112">
      <w:pPr>
        <w:pStyle w:val="Heading1"/>
      </w:pPr>
      <w:bookmarkStart w:id="8" w:name="O_897393"/>
      <w:bookmarkEnd w:id="8"/>
      <w:r w:rsidRPr="00A12112">
        <w:t>Unit Mapping Information</w:t>
      </w:r>
    </w:p>
    <w:p w:rsidR="00000000" w:rsidRPr="00A12112" w:rsidP="00856BB4">
      <w:pPr>
        <w:pStyle w:val="BodyText"/>
      </w:pPr>
      <w:r w:rsidRPr="00A12112">
        <w:t>This unit is equivalent to MTMP3042C Prepare head for inspection.</w:t>
      </w:r>
    </w:p>
    <w:p w:rsidR="00000000" w:rsidRPr="00A12112" w:rsidP="00A12112">
      <w:pPr>
        <w:pStyle w:val="Heading1"/>
      </w:pPr>
      <w:bookmarkStart w:id="9" w:name="O_897400"/>
      <w:bookmarkEnd w:id="9"/>
      <w:r w:rsidRPr="00A12112">
        <w:t>Links</w:t>
      </w:r>
    </w:p>
    <w:p w:rsidR="00000000" w:rsidRPr="00A12112" w:rsidP="00856BB4">
      <w:pPr>
        <w:pStyle w:val="BodyText"/>
      </w:pPr>
      <w:r w:rsidRPr="00A12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61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2112" w:rsidP="00856BB4">
      <w:pPr>
        <w:pStyle w:val="BodyText"/>
        <w:sectPr w:rsidSect="00A1211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2112" w:rsidP="00A12112">
      <w:pPr>
        <w:pStyle w:val="SuperHeading"/>
      </w:pPr>
      <w:r w:rsidRPr="00A12112">
        <w:t>Assessment Requirements for AMPA3043 Pre</w:t>
      </w:r>
      <w:r w:rsidRPr="00A12112">
        <w:t>pare head for inspection</w:t>
      </w:r>
    </w:p>
    <w:p w:rsidR="00000000" w:rsidRPr="00A12112" w:rsidP="00A12112">
      <w:pPr>
        <w:pStyle w:val="Heading1"/>
      </w:pPr>
      <w:bookmarkStart w:id="10" w:name="O_897395"/>
      <w:bookmarkEnd w:id="10"/>
      <w:r w:rsidRPr="00A1211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A1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TableHeading"/>
              <w:rPr>
                <w:lang w:val="en-NZ"/>
              </w:rPr>
            </w:pPr>
            <w:r w:rsidRPr="00A12112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TableHeading"/>
              <w:rPr>
                <w:lang w:val="en-NZ"/>
              </w:rPr>
            </w:pPr>
            <w:r w:rsidRPr="00A12112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TableHeading"/>
              <w:rPr>
                <w:lang w:val="en-NZ"/>
              </w:rPr>
            </w:pPr>
            <w:r w:rsidRPr="00A12112">
              <w:t>Comment</w:t>
            </w:r>
          </w:p>
        </w:tc>
      </w:tr>
      <w:tr w:rsidTr="00A121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BodyText"/>
              <w:rPr>
                <w:lang w:val="en-NZ"/>
              </w:rPr>
            </w:pPr>
            <w:r w:rsidRPr="00A12112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112">
            <w:pPr>
              <w:pStyle w:val="BodyText"/>
              <w:rPr>
                <w:lang w:val="en-NZ"/>
              </w:rPr>
            </w:pPr>
            <w:r w:rsidRPr="00A12112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112" w:rsidP="00A12112">
            <w:pPr>
              <w:pStyle w:val="BodyText"/>
            </w:pPr>
            <w:r w:rsidRPr="00A12112">
              <w:t>Initial release</w:t>
            </w:r>
          </w:p>
        </w:tc>
      </w:tr>
    </w:tbl>
    <w:p w:rsidR="00000000" w:rsidRPr="00A12112" w:rsidP="00A12112">
      <w:pPr>
        <w:pStyle w:val="BodyText"/>
      </w:pPr>
    </w:p>
    <w:p w:rsidR="00000000" w:rsidRPr="00A12112" w:rsidP="00A12112">
      <w:pPr>
        <w:pStyle w:val="AllowPageBreak"/>
      </w:pPr>
    </w:p>
    <w:p w:rsidR="00000000" w:rsidRPr="00A12112" w:rsidP="00A12112">
      <w:pPr>
        <w:pStyle w:val="Heading1"/>
      </w:pPr>
      <w:bookmarkStart w:id="11" w:name="O_897396"/>
      <w:bookmarkEnd w:id="11"/>
      <w:r w:rsidRPr="00A12112">
        <w:t>Performance Evidence</w:t>
      </w:r>
    </w:p>
    <w:p w:rsidR="00000000" w:rsidRPr="00A12112" w:rsidP="00856BB4">
      <w:pPr>
        <w:pStyle w:val="BodyText"/>
      </w:pPr>
      <w:r w:rsidRPr="00A12112">
        <w:t>The candidate must prepare a head for inspection by exposing the required glands and lymph nodes.</w:t>
      </w:r>
    </w:p>
    <w:p w:rsidR="00000000" w:rsidRPr="00A12112" w:rsidP="00856BB4">
      <w:pPr>
        <w:pStyle w:val="BodyText"/>
      </w:pPr>
      <w:r w:rsidRPr="00A12112">
        <w:t>The candidate must:</w:t>
      </w:r>
    </w:p>
    <w:p w:rsidR="00000000" w:rsidRPr="00A12112" w:rsidP="00A12112">
      <w:pPr>
        <w:pStyle w:val="ListBullet"/>
      </w:pPr>
      <w:r w:rsidRPr="00A12112">
        <w:t>prepare head for inspection in accordance with work instructions and regulatory requirements</w:t>
      </w:r>
    </w:p>
    <w:p w:rsidR="00000000" w:rsidRPr="00A12112" w:rsidP="00A12112">
      <w:pPr>
        <w:pStyle w:val="ListBullet"/>
      </w:pPr>
      <w:r w:rsidRPr="00A12112">
        <w:t>identify contamination and take appropriate action</w:t>
      </w:r>
    </w:p>
    <w:p w:rsidR="00000000" w:rsidRPr="00A12112" w:rsidP="00A12112">
      <w:pPr>
        <w:pStyle w:val="ListBullet"/>
      </w:pPr>
      <w:r w:rsidRPr="00A12112">
        <w:t xml:space="preserve">apply communication skills relevant to work instructions and Standard Operating Procedures </w:t>
      </w:r>
      <w:r w:rsidRPr="00A12112">
        <w:t>(SOPs)</w:t>
      </w:r>
    </w:p>
    <w:p w:rsidR="00000000" w:rsidRPr="00A12112" w:rsidP="00A12112">
      <w:pPr>
        <w:pStyle w:val="AllowPageBreak"/>
      </w:pPr>
    </w:p>
    <w:p w:rsidR="00000000" w:rsidRPr="00A12112" w:rsidP="00A12112">
      <w:pPr>
        <w:pStyle w:val="Heading1"/>
      </w:pPr>
      <w:bookmarkStart w:id="12" w:name="O_897397"/>
      <w:bookmarkEnd w:id="12"/>
      <w:r w:rsidRPr="00A12112">
        <w:t>Knowledge Evidence</w:t>
      </w:r>
    </w:p>
    <w:p w:rsidR="00000000" w:rsidRPr="00A12112" w:rsidP="00856BB4">
      <w:pPr>
        <w:pStyle w:val="BodyText"/>
      </w:pPr>
      <w:r w:rsidRPr="00A12112">
        <w:t>The candidate must demonstrate a factual, technical, procedural and theoretical knowledge of:</w:t>
      </w:r>
    </w:p>
    <w:p w:rsidR="00000000" w:rsidRPr="00A12112" w:rsidP="00A12112">
      <w:pPr>
        <w:pStyle w:val="ListBullet"/>
      </w:pPr>
      <w:r w:rsidRPr="00A12112">
        <w:t>basic anatomy associated with the location of glands and lymph nodes</w:t>
      </w:r>
    </w:p>
    <w:p w:rsidR="00000000" w:rsidRPr="00A12112" w:rsidP="00A12112">
      <w:pPr>
        <w:pStyle w:val="ListBullet"/>
      </w:pPr>
      <w:r w:rsidRPr="00A12112">
        <w:t>procedures for minimising contamination of produc</w:t>
      </w:r>
      <w:r w:rsidRPr="00A12112">
        <w:t>t according to workplace requirements</w:t>
      </w:r>
    </w:p>
    <w:p w:rsidR="00000000" w:rsidRPr="00A12112" w:rsidP="00A12112">
      <w:pPr>
        <w:pStyle w:val="ListBullet"/>
      </w:pPr>
      <w:r w:rsidRPr="00A12112">
        <w:t>purpose of head inspection procedures</w:t>
      </w:r>
    </w:p>
    <w:p w:rsidR="00000000" w:rsidRPr="00A12112" w:rsidP="00A12112">
      <w:pPr>
        <w:pStyle w:val="AllowPageBreak"/>
      </w:pPr>
    </w:p>
    <w:p w:rsidR="00000000" w:rsidRPr="00A12112" w:rsidP="00A12112">
      <w:pPr>
        <w:pStyle w:val="Heading1"/>
      </w:pPr>
      <w:bookmarkStart w:id="13" w:name="O_897398"/>
      <w:bookmarkEnd w:id="13"/>
      <w:r w:rsidRPr="00A12112">
        <w:t>Assessment Conditions</w:t>
      </w:r>
    </w:p>
    <w:p w:rsidR="00000000" w:rsidRPr="00A12112" w:rsidP="00856BB4">
      <w:pPr>
        <w:pStyle w:val="BodyText"/>
      </w:pPr>
      <w:r w:rsidRPr="00A12112">
        <w:t>Assessment must occur in a registered meat processing plant or facility.</w:t>
      </w:r>
    </w:p>
    <w:p w:rsidR="00000000" w:rsidRPr="00A12112" w:rsidP="00856BB4">
      <w:pPr>
        <w:pStyle w:val="BodyText"/>
      </w:pPr>
      <w:r w:rsidRPr="00A12112">
        <w:t>Competency must be demonstrated in an operating meat processing pla</w:t>
      </w:r>
      <w:r w:rsidRPr="00A12112">
        <w:t>nt or facility at normal production speed.</w:t>
      </w:r>
    </w:p>
    <w:p w:rsidR="00000000" w:rsidRPr="00A12112" w:rsidP="00856BB4">
      <w:pPr>
        <w:pStyle w:val="BodyText"/>
      </w:pPr>
      <w:r w:rsidRPr="00A12112">
        <w:t>As a minimum, the following three forms of assessment must be used:</w:t>
      </w:r>
    </w:p>
    <w:p w:rsidR="00000000" w:rsidRPr="00A12112" w:rsidP="00A12112">
      <w:pPr>
        <w:pStyle w:val="ListBullet"/>
      </w:pPr>
      <w:r w:rsidRPr="00A12112">
        <w:t>quiz of underpinning knowledge</w:t>
      </w:r>
    </w:p>
    <w:p w:rsidR="00000000" w:rsidRPr="00A12112" w:rsidP="00A12112">
      <w:pPr>
        <w:pStyle w:val="ListBullet"/>
      </w:pPr>
      <w:r w:rsidRPr="00A12112">
        <w:t xml:space="preserve">workplace demonstration </w:t>
      </w:r>
    </w:p>
    <w:p w:rsidR="00000000" w:rsidRPr="00A12112" w:rsidP="00A12112">
      <w:pPr>
        <w:pStyle w:val="ListBullet"/>
      </w:pPr>
      <w:r w:rsidRPr="00A12112">
        <w:t>workplace referee or third-party report of performance over time</w:t>
      </w:r>
    </w:p>
    <w:p w:rsidR="00000000" w:rsidRPr="00A12112" w:rsidP="00856BB4">
      <w:pPr>
        <w:pStyle w:val="BodyText"/>
      </w:pPr>
      <w:r w:rsidRPr="00A12112">
        <w:t>Assessors must satisfy the current standards for RTOs.</w:t>
      </w:r>
    </w:p>
    <w:p w:rsidR="00000000" w:rsidRPr="00A12112" w:rsidP="00A12112">
      <w:pPr>
        <w:pStyle w:val="Heading1"/>
      </w:pPr>
      <w:bookmarkStart w:id="14" w:name="O_897401"/>
      <w:bookmarkEnd w:id="14"/>
      <w:r w:rsidRPr="00A12112">
        <w:t>Links</w:t>
      </w:r>
    </w:p>
    <w:p w:rsidR="00000000" w:rsidRPr="00A12112" w:rsidP="00856BB4">
      <w:pPr>
        <w:pStyle w:val="BodyText"/>
      </w:pPr>
      <w:r w:rsidRPr="00A121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68612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12112" w:rsidP="00A12112"/>
    <w:sectPr w:rsidSect="00A1211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12" w:rsidRPr="00856BB4" w:rsidP="00856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B4" w:rsidP="00A12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56BB4" w:rsidP="00A12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6BB4" w:rsidP="00A1211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12" w:rsidP="00A121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56BB4">
      <w:t>Approved</w:t>
    </w:r>
    <w:r w:rsidR="00856BB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56BB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56BB4">
      <w:rPr>
        <w:noProof/>
      </w:rPr>
      <w:t>4</w:t>
    </w:r>
    <w:r>
      <w:rPr>
        <w:noProof/>
      </w:rPr>
      <w:fldChar w:fldCharType="end"/>
    </w:r>
  </w:p>
  <w:p w:rsidR="00A12112" w:rsidP="00A121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56BB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56BB4">
      <w:t>Skills Insight</w:t>
    </w:r>
    <w:r w:rsidR="00856BB4">
      <w:fldChar w:fldCharType="end"/>
    </w:r>
  </w:p>
  <w:p w:rsidR="00A12112" w:rsidP="00A121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112" w:rsidRPr="00856BB4" w:rsidP="00856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BB4" w:rsidRPr="002D2AF8" w:rsidP="00A12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AMPA3043 Prepare head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56BB4" w:rsidP="00A1211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112" w:rsidRPr="002D2AF8" w:rsidP="00A121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56BB4">
      <w:t>AMPA3043 Prepare head for inspection</w:t>
    </w:r>
    <w:r w:rsidR="00856BB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56BB4">
      <w:rPr>
        <w:noProof/>
      </w:rPr>
      <w:t>2 March 2025</w:t>
    </w:r>
    <w:r>
      <w:fldChar w:fldCharType="end"/>
    </w:r>
  </w:p>
  <w:p w:rsidR="00A12112" w:rsidP="00A121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D888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E0AB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1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1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1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1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1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1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1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1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1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1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1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112"/>
  </w:style>
  <w:style w:type="character" w:customStyle="1" w:styleId="Heading1Char">
    <w:name w:val="Heading 1 Char"/>
    <w:basedOn w:val="DefaultParagraphFont"/>
    <w:link w:val="Heading1"/>
    <w:rsid w:val="00A121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1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1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21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211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121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1211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121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1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1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1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1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1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1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1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1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1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1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1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1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1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1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1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1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21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2112"/>
    <w:rPr>
      <w:b/>
      <w:spacing w:val="0"/>
    </w:rPr>
  </w:style>
  <w:style w:type="paragraph" w:customStyle="1" w:styleId="SuperTitle">
    <w:name w:val="SuperTitle"/>
    <w:basedOn w:val="Title"/>
    <w:rsid w:val="00A121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1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1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21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21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1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1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1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1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1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1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1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1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2112"/>
    <w:rPr>
      <w:i/>
    </w:rPr>
  </w:style>
  <w:style w:type="paragraph" w:styleId="Caption">
    <w:name w:val="caption"/>
    <w:basedOn w:val="BodyText"/>
    <w:next w:val="Normal"/>
    <w:qFormat/>
    <w:rsid w:val="00A121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1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1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112"/>
  </w:style>
  <w:style w:type="paragraph" w:styleId="TableofFigures">
    <w:name w:val="table of figures"/>
    <w:basedOn w:val="Normal"/>
    <w:next w:val="Normal"/>
    <w:semiHidden/>
    <w:rsid w:val="00A121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1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12112"/>
    <w:rPr>
      <w:rFonts w:ascii="Wingdings" w:hAnsi="Wingdings"/>
    </w:rPr>
  </w:style>
  <w:style w:type="character" w:customStyle="1" w:styleId="HotSpot">
    <w:name w:val="HotSpot"/>
    <w:rsid w:val="00A12112"/>
    <w:rPr>
      <w:color w:val="0033CC"/>
      <w:u w:val="none"/>
    </w:rPr>
  </w:style>
  <w:style w:type="paragraph" w:customStyle="1" w:styleId="BodyTextRight">
    <w:name w:val="Body Text Right"/>
    <w:basedOn w:val="BodyText"/>
    <w:rsid w:val="00A121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1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1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1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1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1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112"/>
    <w:rPr>
      <w:sz w:val="32"/>
    </w:rPr>
  </w:style>
  <w:style w:type="paragraph" w:customStyle="1" w:styleId="HeadingProcedure">
    <w:name w:val="Heading Procedure"/>
    <w:basedOn w:val="HeadingBase"/>
    <w:next w:val="Normal"/>
    <w:rsid w:val="00A121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112"/>
    <w:pPr>
      <w:spacing w:before="60" w:after="60"/>
    </w:pPr>
  </w:style>
  <w:style w:type="paragraph" w:styleId="ListContinue">
    <w:name w:val="List Continue"/>
    <w:basedOn w:val="List"/>
    <w:rsid w:val="00A12112"/>
    <w:pPr>
      <w:ind w:firstLine="0"/>
    </w:pPr>
  </w:style>
  <w:style w:type="paragraph" w:customStyle="1" w:styleId="ListNote">
    <w:name w:val="List Note"/>
    <w:basedOn w:val="List"/>
    <w:rsid w:val="00A121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1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1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112"/>
    <w:rPr>
      <w:rFonts w:ascii="Courier New" w:hAnsi="Courier New"/>
    </w:rPr>
  </w:style>
  <w:style w:type="paragraph" w:customStyle="1" w:styleId="NoteBullet">
    <w:name w:val="Note Bullet"/>
    <w:basedOn w:val="Note"/>
    <w:rsid w:val="00A121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1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1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1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1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121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1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112"/>
    <w:rPr>
      <w:b/>
      <w:smallCaps/>
    </w:rPr>
  </w:style>
  <w:style w:type="paragraph" w:customStyle="1" w:styleId="TableListNumber">
    <w:name w:val="Table List Number"/>
    <w:basedOn w:val="ListNumber"/>
    <w:rsid w:val="00A121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1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112"/>
    <w:pPr>
      <w:numPr>
        <w:numId w:val="8"/>
      </w:numPr>
    </w:pPr>
  </w:style>
  <w:style w:type="paragraph" w:customStyle="1" w:styleId="ListAlpha2">
    <w:name w:val="List Alpha 2"/>
    <w:basedOn w:val="List2"/>
    <w:rsid w:val="00A12112"/>
    <w:pPr>
      <w:numPr>
        <w:numId w:val="7"/>
      </w:numPr>
    </w:pPr>
  </w:style>
  <w:style w:type="paragraph" w:styleId="List2">
    <w:name w:val="List 2"/>
    <w:basedOn w:val="BodyText"/>
    <w:rsid w:val="00A121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1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1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1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1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1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12112"/>
    <w:pPr>
      <w:numPr>
        <w:numId w:val="3"/>
      </w:numPr>
    </w:pPr>
  </w:style>
  <w:style w:type="paragraph" w:styleId="ListContinue2">
    <w:name w:val="List Continue 2"/>
    <w:basedOn w:val="List2"/>
    <w:rsid w:val="00A12112"/>
    <w:pPr>
      <w:ind w:firstLine="0"/>
    </w:pPr>
  </w:style>
  <w:style w:type="paragraph" w:styleId="ListContinue3">
    <w:name w:val="List Continue 3"/>
    <w:basedOn w:val="List3"/>
    <w:rsid w:val="00A12112"/>
    <w:pPr>
      <w:ind w:left="1021" w:firstLine="0"/>
    </w:pPr>
  </w:style>
  <w:style w:type="paragraph" w:styleId="ListContinue4">
    <w:name w:val="List Continue 4"/>
    <w:basedOn w:val="List4"/>
    <w:rsid w:val="00A12112"/>
    <w:pPr>
      <w:ind w:firstLine="0"/>
    </w:pPr>
  </w:style>
  <w:style w:type="paragraph" w:styleId="ListContinue5">
    <w:name w:val="List Continue 5"/>
    <w:basedOn w:val="List5"/>
    <w:rsid w:val="00A12112"/>
    <w:pPr>
      <w:ind w:firstLine="0"/>
    </w:pPr>
  </w:style>
  <w:style w:type="paragraph" w:styleId="ListNumber3">
    <w:name w:val="List Number 3"/>
    <w:basedOn w:val="List3"/>
    <w:rsid w:val="00A12112"/>
    <w:pPr>
      <w:numPr>
        <w:numId w:val="4"/>
      </w:numPr>
    </w:pPr>
  </w:style>
  <w:style w:type="paragraph" w:styleId="ListNumber4">
    <w:name w:val="List Number 4"/>
    <w:basedOn w:val="List4"/>
    <w:rsid w:val="00A12112"/>
    <w:pPr>
      <w:numPr>
        <w:numId w:val="5"/>
      </w:numPr>
    </w:pPr>
  </w:style>
  <w:style w:type="paragraph" w:styleId="ListNumber5">
    <w:name w:val="List Number 5"/>
    <w:basedOn w:val="List5"/>
    <w:rsid w:val="00A12112"/>
    <w:pPr>
      <w:numPr>
        <w:numId w:val="6"/>
      </w:numPr>
    </w:pPr>
  </w:style>
  <w:style w:type="paragraph" w:styleId="BlockText">
    <w:name w:val="Block Text"/>
    <w:basedOn w:val="Normal"/>
    <w:rsid w:val="00A121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1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112"/>
    <w:rPr>
      <w:sz w:val="16"/>
      <w:vertAlign w:val="superscript"/>
    </w:rPr>
  </w:style>
  <w:style w:type="character" w:customStyle="1" w:styleId="Symbols">
    <w:name w:val="Symbols"/>
    <w:basedOn w:val="DefaultParagraphFont"/>
    <w:rsid w:val="00A12112"/>
    <w:rPr>
      <w:rFonts w:ascii="Symbol" w:hAnsi="Symbol"/>
    </w:rPr>
  </w:style>
  <w:style w:type="character" w:customStyle="1" w:styleId="MenuOptions">
    <w:name w:val="Menu Options"/>
    <w:basedOn w:val="DefaultParagraphFont"/>
    <w:rsid w:val="00A121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112"/>
    <w:rPr>
      <w:b/>
    </w:rPr>
  </w:style>
  <w:style w:type="character" w:customStyle="1" w:styleId="Underlined">
    <w:name w:val="Underlined"/>
    <w:basedOn w:val="DefaultParagraphFont"/>
    <w:rsid w:val="00A12112"/>
    <w:rPr>
      <w:u w:val="single"/>
    </w:rPr>
  </w:style>
  <w:style w:type="paragraph" w:customStyle="1" w:styleId="TableBodyTextRight">
    <w:name w:val="Table Body Text Right"/>
    <w:basedOn w:val="TableBodyText"/>
    <w:rsid w:val="00A121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112"/>
    <w:rPr>
      <w:sz w:val="18"/>
    </w:rPr>
  </w:style>
  <w:style w:type="paragraph" w:customStyle="1" w:styleId="BodySmallRight">
    <w:name w:val="Body Small Right"/>
    <w:basedOn w:val="BodyTextRight"/>
    <w:rsid w:val="00A12112"/>
    <w:rPr>
      <w:sz w:val="18"/>
      <w:szCs w:val="18"/>
    </w:rPr>
  </w:style>
  <w:style w:type="paragraph" w:customStyle="1" w:styleId="MarginEdition">
    <w:name w:val="Margin Edition"/>
    <w:basedOn w:val="MarginNote"/>
    <w:rsid w:val="00A121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112"/>
    <w:rPr>
      <w:sz w:val="2"/>
      <w:szCs w:val="2"/>
    </w:rPr>
  </w:style>
  <w:style w:type="character" w:customStyle="1" w:styleId="Small">
    <w:name w:val="Small"/>
    <w:basedOn w:val="DefaultParagraphFont"/>
    <w:rsid w:val="00A12112"/>
    <w:rPr>
      <w:sz w:val="16"/>
    </w:rPr>
  </w:style>
  <w:style w:type="paragraph" w:customStyle="1" w:styleId="WideTable">
    <w:name w:val="Wide Table"/>
    <w:basedOn w:val="Normal"/>
    <w:rsid w:val="00A121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112"/>
  </w:style>
  <w:style w:type="paragraph" w:styleId="Quote">
    <w:name w:val="Quote"/>
    <w:basedOn w:val="Heading1"/>
    <w:link w:val="QuoteChar"/>
    <w:qFormat/>
    <w:rsid w:val="00A121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1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112"/>
    <w:pPr>
      <w:pageBreakBefore/>
    </w:pPr>
  </w:style>
  <w:style w:type="paragraph" w:customStyle="1" w:styleId="Border">
    <w:name w:val="Border"/>
    <w:basedOn w:val="Normal"/>
    <w:qFormat/>
    <w:rsid w:val="00A121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1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1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1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1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1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1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1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1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112"/>
    <w:rPr>
      <w:u w:val="single"/>
    </w:rPr>
  </w:style>
  <w:style w:type="character" w:customStyle="1" w:styleId="BoldandItalics">
    <w:name w:val="Bold and Italics"/>
    <w:qFormat/>
    <w:rsid w:val="00A12112"/>
    <w:rPr>
      <w:b/>
      <w:i/>
      <w:u w:val="none"/>
    </w:rPr>
  </w:style>
  <w:style w:type="paragraph" w:styleId="BalloonText">
    <w:name w:val="Balloon Text"/>
    <w:basedOn w:val="Normal"/>
    <w:link w:val="BalloonTextChar"/>
    <w:rsid w:val="00A121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1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1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1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1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1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112"/>
    <w:pPr>
      <w:spacing w:before="0" w:after="0"/>
    </w:pPr>
  </w:style>
  <w:style w:type="paragraph" w:customStyle="1" w:styleId="BodyTextBold">
    <w:name w:val="Body Text Bold"/>
    <w:basedOn w:val="BodyText"/>
    <w:qFormat/>
    <w:rsid w:val="00A12112"/>
    <w:rPr>
      <w:b/>
    </w:rPr>
  </w:style>
  <w:style w:type="character" w:styleId="Hyperlink">
    <w:name w:val="Hyperlink"/>
    <w:basedOn w:val="DefaultParagraphFont"/>
    <w:uiPriority w:val="99"/>
    <w:unhideWhenUsed/>
    <w:rsid w:val="00856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503</Words>
  <Characters>3269</Characters>
  <Application>Microsoft Office Word</Application>
  <DocSecurity>0</DocSecurity>
  <Lines>121</Lines>
  <Paragraphs>81</Paragraphs>
  <ScaleCrop>false</ScaleCrop>
  <Company>Author-it Software Corporation Ltd.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AMPA3043 Prepare head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2025-03-01T20:04:00Z</dcterms:created>
  <dcterms:modified xsi:type="dcterms:W3CDTF">2025-03-01T20:04:00Z</dcterms:modified>
</cp:coreProperties>
</file>