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E66" w:rsidP="00116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AMPA3004 Monitor the effective operations of electrical stimulation</w:t>
      </w:r>
      <w:r>
        <w:fldChar w:fldCharType="end"/>
      </w:r>
    </w:p>
    <w:p w:rsidR="00116E66" w:rsidP="00116E66">
      <w:pPr>
        <w:pStyle w:val="Version"/>
        <w:sectPr w:rsidSect="00234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1C2" w:rsidP="002341C2">
      <w:pPr>
        <w:pStyle w:val="SuperHeading"/>
      </w:pPr>
      <w:r w:rsidRPr="002341C2">
        <w:t>AMPA3004 Monitor the effective operations of electrical stimulation</w:t>
      </w:r>
    </w:p>
    <w:p w:rsidR="00000000" w:rsidRPr="002341C2" w:rsidP="002341C2">
      <w:pPr>
        <w:pStyle w:val="Heading1"/>
      </w:pPr>
      <w:bookmarkStart w:id="1" w:name="O_891785"/>
      <w:bookmarkEnd w:id="1"/>
      <w:r w:rsidRPr="002341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3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TableHeading"/>
              <w:rPr>
                <w:lang w:val="en-NZ"/>
              </w:rPr>
            </w:pPr>
            <w:r w:rsidRPr="002341C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TableHeading"/>
              <w:rPr>
                <w:lang w:val="en-NZ"/>
              </w:rPr>
            </w:pPr>
            <w:r w:rsidRPr="002341C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TableHeading"/>
              <w:rPr>
                <w:lang w:val="en-NZ"/>
              </w:rPr>
            </w:pPr>
            <w:r w:rsidRPr="002341C2">
              <w:t>Comment</w:t>
            </w:r>
          </w:p>
        </w:tc>
      </w:tr>
      <w:tr w:rsidTr="00234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BodyText"/>
              <w:rPr>
                <w:lang w:val="en-NZ"/>
              </w:rPr>
            </w:pPr>
            <w:r w:rsidRPr="002341C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BodyText"/>
              <w:rPr>
                <w:lang w:val="en-NZ"/>
              </w:rPr>
            </w:pPr>
            <w:r w:rsidRPr="002341C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C2" w:rsidP="002341C2">
            <w:pPr>
              <w:pStyle w:val="BodyText"/>
            </w:pPr>
            <w:r w:rsidRPr="002341C2">
              <w:t>Initial release</w:t>
            </w:r>
          </w:p>
        </w:tc>
      </w:tr>
    </w:tbl>
    <w:p w:rsidR="00000000" w:rsidRPr="002341C2" w:rsidP="002341C2">
      <w:pPr>
        <w:pStyle w:val="BodyText"/>
      </w:pPr>
    </w:p>
    <w:p w:rsidR="00000000" w:rsidRPr="002341C2" w:rsidP="002341C2">
      <w:pPr>
        <w:pStyle w:val="AllowPageBreak"/>
      </w:pPr>
    </w:p>
    <w:p w:rsidR="00000000" w:rsidRPr="002341C2" w:rsidP="002341C2">
      <w:pPr>
        <w:pStyle w:val="Heading1"/>
      </w:pPr>
      <w:bookmarkStart w:id="2" w:name="O_891786"/>
      <w:bookmarkEnd w:id="2"/>
      <w:r w:rsidRPr="002341C2">
        <w:t>Application</w:t>
      </w:r>
    </w:p>
    <w:p w:rsidR="00000000" w:rsidRPr="002341C2" w:rsidP="00116E66">
      <w:pPr>
        <w:pStyle w:val="BodyText"/>
      </w:pPr>
      <w:r w:rsidRPr="002341C2">
        <w:t>This unit describes the skills and knowledge required to monitor an automated or manual electrical carcase stimulation unit to ensure that the carcases are receiving the optimal stimulation.</w:t>
      </w:r>
    </w:p>
    <w:p w:rsidR="00000000" w:rsidRPr="002341C2" w:rsidP="00116E66">
      <w:pPr>
        <w:pStyle w:val="BodyText"/>
      </w:pPr>
      <w:r w:rsidRPr="002341C2">
        <w:t>This Unit is applicable to workers monitoring electrical stimula</w:t>
      </w:r>
      <w:r w:rsidRPr="002341C2">
        <w:t>tion units in slaughtering establishments.</w:t>
      </w:r>
    </w:p>
    <w:p w:rsidR="00000000" w:rsidRPr="002341C2" w:rsidP="00116E66">
      <w:pPr>
        <w:pStyle w:val="BodyText"/>
      </w:pPr>
      <w:r w:rsidRPr="002341C2">
        <w:t>All work should be carried out to comply with workplace procedures, customer requirements and product specifications.</w:t>
      </w:r>
    </w:p>
    <w:p w:rsidR="00000000" w:rsidRPr="002341C2" w:rsidP="00116E66">
      <w:pPr>
        <w:pStyle w:val="BodyText"/>
      </w:pPr>
      <w:r w:rsidRPr="002341C2">
        <w:t>This unit applies to individuals who work under broad direction and take responsibility for t</w:t>
      </w:r>
      <w:r w:rsidRPr="002341C2">
        <w:t>heir own work including limited responsibility for the work of others. They provide and communicate solutions to a range of predictable problems.</w:t>
      </w:r>
    </w:p>
    <w:p w:rsidR="00000000" w:rsidRPr="002341C2" w:rsidP="00116E66">
      <w:pPr>
        <w:pStyle w:val="BodyText"/>
      </w:pPr>
      <w:r w:rsidRPr="002341C2">
        <w:t>No occupational licensing, legislative or certification requirements are known to apply to this unit at the t</w:t>
      </w:r>
      <w:r w:rsidRPr="002341C2">
        <w:t>ime of publication.</w:t>
      </w:r>
    </w:p>
    <w:p w:rsidR="00000000" w:rsidRPr="002341C2" w:rsidP="00116E66">
      <w:pPr>
        <w:pStyle w:val="BodyText"/>
      </w:pPr>
      <w:r w:rsidRPr="002341C2">
        <w:t>This unit must be delivered and assessed in the context of Australian meat processing standards and regulations.</w:t>
      </w:r>
    </w:p>
    <w:p w:rsidR="00000000" w:rsidRPr="002341C2" w:rsidP="002341C2">
      <w:pPr>
        <w:pStyle w:val="Heading1"/>
      </w:pPr>
      <w:bookmarkStart w:id="3" w:name="O_891787"/>
      <w:bookmarkEnd w:id="3"/>
      <w:r w:rsidRPr="002341C2">
        <w:t>Pre-requisite Unit</w:t>
      </w:r>
    </w:p>
    <w:p w:rsidR="00000000" w:rsidRPr="002341C2" w:rsidP="00116E66">
      <w:pPr>
        <w:pStyle w:val="BodyText"/>
      </w:pPr>
      <w:r w:rsidRPr="002341C2">
        <w:t>Nil.</w:t>
      </w:r>
    </w:p>
    <w:p w:rsidR="00000000" w:rsidRPr="002341C2" w:rsidP="002341C2">
      <w:pPr>
        <w:pStyle w:val="Heading1"/>
      </w:pPr>
      <w:bookmarkStart w:id="4" w:name="O_891789"/>
      <w:bookmarkEnd w:id="4"/>
      <w:r w:rsidRPr="002341C2">
        <w:t>Unit Sector</w:t>
      </w:r>
    </w:p>
    <w:p w:rsidR="00000000" w:rsidRPr="002341C2" w:rsidP="002341C2">
      <w:pPr>
        <w:pStyle w:val="Heading1"/>
      </w:pPr>
      <w:bookmarkStart w:id="5" w:name="O_891790"/>
      <w:bookmarkEnd w:id="5"/>
      <w:r w:rsidRPr="002341C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16E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TableHeading"/>
              <w:rPr>
                <w:lang w:val="en-NZ"/>
              </w:rPr>
            </w:pPr>
            <w:r w:rsidRPr="002341C2">
              <w:t>El</w:t>
            </w:r>
            <w:r w:rsidRPr="002341C2">
              <w:t>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TableHeading"/>
              <w:rPr>
                <w:lang w:val="en-NZ"/>
              </w:rPr>
            </w:pPr>
            <w:r w:rsidRPr="002341C2">
              <w:t>Performance criteria</w:t>
            </w:r>
          </w:p>
        </w:tc>
      </w:tr>
      <w:tr w:rsidTr="00116E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BodyText"/>
              <w:rPr>
                <w:lang w:val="en-NZ"/>
              </w:rPr>
            </w:pPr>
            <w:r w:rsidRPr="002341C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BodyText"/>
              <w:rPr>
                <w:lang w:val="en-NZ"/>
              </w:rPr>
            </w:pPr>
            <w:r w:rsidRPr="002341C2">
              <w:t>Performance criteria describe the performance needed to demonstrate achievement of the element.</w:t>
            </w:r>
          </w:p>
        </w:tc>
      </w:tr>
      <w:tr w:rsidTr="00116E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List"/>
              <w:rPr>
                <w:lang w:val="en-NZ"/>
              </w:rPr>
            </w:pPr>
            <w:r w:rsidRPr="002341C2">
              <w:t>1.</w:t>
            </w:r>
            <w:r w:rsidRPr="002341C2">
              <w:tab/>
              <w:t>Monitor electrical stimulation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C2" w:rsidP="002341C2">
            <w:pPr>
              <w:pStyle w:val="List"/>
            </w:pPr>
            <w:r w:rsidRPr="002341C2">
              <w:t>1.1</w:t>
            </w:r>
            <w:r w:rsidRPr="002341C2">
              <w:tab/>
            </w:r>
            <w:r w:rsidRPr="002341C2">
              <w:t>Monitor the electrical stimulation unit using the correct procedure to check electrical stimulation equipment operation</w:t>
            </w:r>
          </w:p>
          <w:p w:rsidR="00000000" w:rsidRPr="002341C2" w:rsidP="002341C2">
            <w:pPr>
              <w:pStyle w:val="List"/>
            </w:pPr>
            <w:r w:rsidRPr="002341C2">
              <w:t>1.2</w:t>
            </w:r>
            <w:r w:rsidRPr="002341C2">
              <w:tab/>
              <w:t>Use dummy load across each of the electrical inputs to check operation in accordance with work instructions and manufacturers’ speci</w:t>
            </w:r>
            <w:r w:rsidRPr="002341C2">
              <w:t>fications</w:t>
            </w:r>
          </w:p>
          <w:p w:rsidR="00000000" w:rsidRPr="002341C2" w:rsidP="002341C2">
            <w:pPr>
              <w:pStyle w:val="List"/>
            </w:pPr>
            <w:r w:rsidRPr="002341C2">
              <w:t>1.3</w:t>
            </w:r>
            <w:r w:rsidRPr="002341C2">
              <w:tab/>
              <w:t>Observe for and describe the normal reaction of carcases to electrical stimulation</w:t>
            </w:r>
          </w:p>
          <w:p w:rsidR="00000000" w:rsidRPr="002341C2" w:rsidP="002341C2">
            <w:pPr>
              <w:pStyle w:val="List"/>
            </w:pPr>
            <w:r w:rsidRPr="002341C2">
              <w:t>1.4</w:t>
            </w:r>
            <w:r w:rsidRPr="002341C2">
              <w:tab/>
              <w:t>Observe for and respond to any abnormal reaction of carcases to electrical stimulation</w:t>
            </w:r>
          </w:p>
          <w:p w:rsidR="00000000" w:rsidRPr="002341C2" w:rsidP="002341C2">
            <w:pPr>
              <w:pStyle w:val="List"/>
            </w:pPr>
            <w:r w:rsidRPr="002341C2">
              <w:t>1.5</w:t>
            </w:r>
            <w:r w:rsidRPr="002341C2">
              <w:tab/>
              <w:t>Follow up on requests for maintenance and check operation is nor</w:t>
            </w:r>
            <w:r w:rsidRPr="002341C2">
              <w:t>mal</w:t>
            </w:r>
          </w:p>
          <w:p w:rsidR="00000000" w:rsidP="002341C2">
            <w:pPr>
              <w:pStyle w:val="List"/>
              <w:rPr>
                <w:lang w:val="en-NZ"/>
              </w:rPr>
            </w:pPr>
            <w:r w:rsidRPr="002341C2">
              <w:t>1.6</w:t>
            </w:r>
            <w:r w:rsidRPr="002341C2">
              <w:tab/>
              <w:t>Follow workplace health and safety requirements for working around electrical stimulation units</w:t>
            </w:r>
          </w:p>
        </w:tc>
      </w:tr>
      <w:tr w:rsidTr="00116E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List"/>
              <w:rPr>
                <w:lang w:val="en-NZ"/>
              </w:rPr>
            </w:pPr>
            <w:r w:rsidRPr="002341C2">
              <w:t>2.</w:t>
            </w:r>
            <w:r w:rsidRPr="002341C2">
              <w:tab/>
              <w:t>Ensure routine checks of equipment by technicians are performed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C2" w:rsidP="002341C2">
            <w:pPr>
              <w:pStyle w:val="List"/>
            </w:pPr>
            <w:r w:rsidRPr="002341C2">
              <w:t>2.1</w:t>
            </w:r>
            <w:r w:rsidRPr="002341C2">
              <w:tab/>
            </w:r>
            <w:r w:rsidRPr="002341C2">
              <w:t>Arrange or oversee routine checks to ensure a full check of the equipment is made including: electrical parameters, stored programs, electrical safety, electrodes and equipment integration</w:t>
            </w:r>
          </w:p>
          <w:p w:rsidR="00000000" w:rsidP="002341C2">
            <w:pPr>
              <w:pStyle w:val="List"/>
              <w:rPr>
                <w:lang w:val="en-NZ"/>
              </w:rPr>
            </w:pPr>
            <w:r w:rsidRPr="002341C2">
              <w:t>2.2</w:t>
            </w:r>
            <w:r w:rsidRPr="002341C2">
              <w:tab/>
              <w:t>Review maintenance and equipment reports detailing the findings</w:t>
            </w:r>
            <w:r w:rsidRPr="002341C2">
              <w:t xml:space="preserve"> and recommendations and implement corrective actions</w:t>
            </w:r>
          </w:p>
        </w:tc>
      </w:tr>
      <w:tr w:rsidTr="00116E6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C2">
            <w:pPr>
              <w:pStyle w:val="List"/>
              <w:rPr>
                <w:lang w:val="en-NZ"/>
              </w:rPr>
            </w:pPr>
            <w:r w:rsidRPr="002341C2">
              <w:t>3.</w:t>
            </w:r>
            <w:r w:rsidRPr="002341C2">
              <w:tab/>
              <w:t>Respond to audits of carcase specification compliance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C2" w:rsidP="002341C2">
            <w:pPr>
              <w:pStyle w:val="List"/>
            </w:pPr>
            <w:r w:rsidRPr="002341C2">
              <w:t>3.1</w:t>
            </w:r>
            <w:r w:rsidRPr="002341C2">
              <w:tab/>
              <w:t>Describe the pH/temperature window and its importance to meat quality</w:t>
            </w:r>
          </w:p>
          <w:p w:rsidR="00000000" w:rsidRPr="002341C2" w:rsidP="002341C2">
            <w:pPr>
              <w:pStyle w:val="List"/>
            </w:pPr>
            <w:r w:rsidRPr="002341C2">
              <w:t>3.2</w:t>
            </w:r>
            <w:r w:rsidRPr="002341C2">
              <w:tab/>
              <w:t>Describe the audit process for electrical stimulation unit perform</w:t>
            </w:r>
            <w:r w:rsidRPr="002341C2">
              <w:t>ance and the various potential findings</w:t>
            </w:r>
          </w:p>
          <w:p w:rsidR="00000000" w:rsidRPr="002341C2" w:rsidP="002341C2">
            <w:pPr>
              <w:pStyle w:val="List"/>
            </w:pPr>
            <w:r w:rsidRPr="002341C2">
              <w:t>3.3</w:t>
            </w:r>
            <w:r w:rsidRPr="002341C2">
              <w:tab/>
              <w:t>Respond to adverse audit findings including recommendations to alter stimulation inputs, alter stimulation time and adjust chilling regime</w:t>
            </w:r>
          </w:p>
        </w:tc>
      </w:tr>
    </w:tbl>
    <w:p w:rsidR="00000000" w:rsidRPr="002341C2" w:rsidP="002341C2">
      <w:pPr>
        <w:pStyle w:val="BodyText"/>
      </w:pPr>
    </w:p>
    <w:p w:rsidR="00000000" w:rsidRPr="002341C2" w:rsidP="002341C2">
      <w:pPr>
        <w:pStyle w:val="AllowPageBreak"/>
      </w:pPr>
    </w:p>
    <w:p w:rsidR="00000000" w:rsidRPr="002341C2" w:rsidP="002341C2">
      <w:pPr>
        <w:pStyle w:val="Heading1"/>
      </w:pPr>
      <w:bookmarkStart w:id="6" w:name="O_891791"/>
      <w:bookmarkEnd w:id="6"/>
      <w:r w:rsidRPr="002341C2">
        <w:t>Foundation Skills</w:t>
      </w:r>
    </w:p>
    <w:p w:rsidR="00000000" w:rsidRPr="002341C2" w:rsidP="00116E66">
      <w:pPr>
        <w:pStyle w:val="BodyText"/>
      </w:pPr>
      <w:r w:rsidRPr="002341C2">
        <w:t>Foundation Skills essential to perfo</w:t>
      </w:r>
      <w:r w:rsidRPr="002341C2">
        <w:t>rmance are explicit in the performance criteria of this unit of competency.</w:t>
      </w:r>
    </w:p>
    <w:p w:rsidR="00000000" w:rsidRPr="002341C2" w:rsidP="002341C2">
      <w:pPr>
        <w:pStyle w:val="Heading1"/>
      </w:pPr>
      <w:bookmarkStart w:id="7" w:name="O_891792"/>
      <w:bookmarkEnd w:id="7"/>
      <w:r w:rsidRPr="002341C2">
        <w:t>Range of Conditions</w:t>
      </w:r>
    </w:p>
    <w:p w:rsidR="00000000" w:rsidRPr="002341C2" w:rsidP="002341C2">
      <w:pPr>
        <w:pStyle w:val="Heading1"/>
      </w:pPr>
      <w:bookmarkStart w:id="8" w:name="O_891793"/>
      <w:bookmarkEnd w:id="8"/>
      <w:r w:rsidRPr="002341C2">
        <w:t>Unit Mapping Information</w:t>
      </w:r>
    </w:p>
    <w:p w:rsidR="00000000" w:rsidRPr="002341C2" w:rsidP="00116E66">
      <w:pPr>
        <w:pStyle w:val="BodyText"/>
      </w:pPr>
      <w:r w:rsidRPr="002341C2">
        <w:t>This unit is equivalent to MTMP3005A Monitor the effective operations of electrical stimulation.</w:t>
      </w:r>
    </w:p>
    <w:p w:rsidR="00000000" w:rsidRPr="002341C2" w:rsidP="002341C2">
      <w:pPr>
        <w:pStyle w:val="Heading1"/>
      </w:pPr>
      <w:bookmarkStart w:id="9" w:name="O_891808"/>
      <w:bookmarkEnd w:id="9"/>
      <w:r w:rsidRPr="002341C2">
        <w:t>Links</w:t>
      </w:r>
    </w:p>
    <w:p w:rsidR="00000000" w:rsidRPr="002341C2" w:rsidP="00116E66">
      <w:pPr>
        <w:pStyle w:val="BodyText"/>
      </w:pPr>
      <w:r w:rsidRPr="002341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F646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341C2" w:rsidP="002341C2"/>
    <w:sectPr w:rsidSect="00234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C2" w:rsidRPr="00116E66" w:rsidP="00116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66" w:rsidP="00234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E66" w:rsidP="00234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6E66" w:rsidP="00234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1C2" w:rsidRPr="00116E66" w:rsidP="00116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66" w:rsidRPr="002D2AF8" w:rsidP="00234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AMPA3004 Monitor the effective operations of electrical stimulation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16E66" w:rsidP="00234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1C2"/>
  </w:style>
  <w:style w:type="character" w:customStyle="1" w:styleId="Heading1Char">
    <w:name w:val="Heading 1 Char"/>
    <w:basedOn w:val="DefaultParagraphFont"/>
    <w:link w:val="Heading1"/>
    <w:rsid w:val="00234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1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41C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34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41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4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1C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341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4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1C2"/>
    <w:rPr>
      <w:b/>
      <w:spacing w:val="0"/>
    </w:rPr>
  </w:style>
  <w:style w:type="paragraph" w:customStyle="1" w:styleId="SuperTitle">
    <w:name w:val="SuperTitle"/>
    <w:basedOn w:val="Title"/>
    <w:rsid w:val="00234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1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1C2"/>
    <w:rPr>
      <w:i/>
    </w:rPr>
  </w:style>
  <w:style w:type="paragraph" w:styleId="Caption">
    <w:name w:val="caption"/>
    <w:basedOn w:val="BodyText"/>
    <w:next w:val="Normal"/>
    <w:qFormat/>
    <w:rsid w:val="00234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1C2"/>
  </w:style>
  <w:style w:type="paragraph" w:styleId="TableofFigures">
    <w:name w:val="table of figures"/>
    <w:basedOn w:val="Normal"/>
    <w:next w:val="Normal"/>
    <w:semiHidden/>
    <w:rsid w:val="00234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1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41C2"/>
    <w:rPr>
      <w:rFonts w:ascii="Wingdings" w:hAnsi="Wingdings"/>
    </w:rPr>
  </w:style>
  <w:style w:type="character" w:customStyle="1" w:styleId="HotSpot">
    <w:name w:val="HotSpot"/>
    <w:rsid w:val="002341C2"/>
    <w:rPr>
      <w:color w:val="0033CC"/>
      <w:u w:val="none"/>
    </w:rPr>
  </w:style>
  <w:style w:type="paragraph" w:customStyle="1" w:styleId="BodyTextRight">
    <w:name w:val="Body Text Right"/>
    <w:basedOn w:val="BodyText"/>
    <w:rsid w:val="00234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1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1C2"/>
    <w:rPr>
      <w:sz w:val="32"/>
    </w:rPr>
  </w:style>
  <w:style w:type="paragraph" w:customStyle="1" w:styleId="HeadingProcedure">
    <w:name w:val="Heading Procedure"/>
    <w:basedOn w:val="HeadingBase"/>
    <w:next w:val="Normal"/>
    <w:rsid w:val="00234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1C2"/>
    <w:pPr>
      <w:spacing w:before="60" w:after="60"/>
    </w:pPr>
  </w:style>
  <w:style w:type="paragraph" w:styleId="ListContinue">
    <w:name w:val="List Continue"/>
    <w:basedOn w:val="List"/>
    <w:rsid w:val="002341C2"/>
    <w:pPr>
      <w:ind w:firstLine="0"/>
    </w:pPr>
  </w:style>
  <w:style w:type="paragraph" w:customStyle="1" w:styleId="ListNote">
    <w:name w:val="List Note"/>
    <w:basedOn w:val="List"/>
    <w:rsid w:val="00234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1C2"/>
    <w:rPr>
      <w:rFonts w:ascii="Courier New" w:hAnsi="Courier New"/>
    </w:rPr>
  </w:style>
  <w:style w:type="paragraph" w:customStyle="1" w:styleId="NoteBullet">
    <w:name w:val="Note Bullet"/>
    <w:basedOn w:val="Note"/>
    <w:rsid w:val="00234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1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4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1C2"/>
    <w:rPr>
      <w:b/>
      <w:smallCaps/>
    </w:rPr>
  </w:style>
  <w:style w:type="paragraph" w:customStyle="1" w:styleId="TableListNumber">
    <w:name w:val="Table List Number"/>
    <w:basedOn w:val="ListNumber"/>
    <w:rsid w:val="00234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1C2"/>
    <w:pPr>
      <w:numPr>
        <w:numId w:val="7"/>
      </w:numPr>
    </w:pPr>
  </w:style>
  <w:style w:type="paragraph" w:customStyle="1" w:styleId="ListAlpha2">
    <w:name w:val="List Alpha 2"/>
    <w:basedOn w:val="List2"/>
    <w:rsid w:val="002341C2"/>
    <w:pPr>
      <w:numPr>
        <w:numId w:val="6"/>
      </w:numPr>
    </w:pPr>
  </w:style>
  <w:style w:type="paragraph" w:styleId="List2">
    <w:name w:val="List 2"/>
    <w:basedOn w:val="BodyText"/>
    <w:rsid w:val="00234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1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1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41C2"/>
    <w:pPr>
      <w:numPr>
        <w:numId w:val="2"/>
      </w:numPr>
    </w:pPr>
  </w:style>
  <w:style w:type="paragraph" w:styleId="ListContinue2">
    <w:name w:val="List Continue 2"/>
    <w:basedOn w:val="List2"/>
    <w:rsid w:val="002341C2"/>
    <w:pPr>
      <w:ind w:firstLine="0"/>
    </w:pPr>
  </w:style>
  <w:style w:type="paragraph" w:styleId="ListContinue3">
    <w:name w:val="List Continue 3"/>
    <w:basedOn w:val="List3"/>
    <w:rsid w:val="002341C2"/>
    <w:pPr>
      <w:ind w:left="1021" w:firstLine="0"/>
    </w:pPr>
  </w:style>
  <w:style w:type="paragraph" w:styleId="ListContinue4">
    <w:name w:val="List Continue 4"/>
    <w:basedOn w:val="List4"/>
    <w:rsid w:val="002341C2"/>
    <w:pPr>
      <w:ind w:firstLine="0"/>
    </w:pPr>
  </w:style>
  <w:style w:type="paragraph" w:styleId="ListContinue5">
    <w:name w:val="List Continue 5"/>
    <w:basedOn w:val="List5"/>
    <w:rsid w:val="002341C2"/>
    <w:pPr>
      <w:ind w:firstLine="0"/>
    </w:pPr>
  </w:style>
  <w:style w:type="paragraph" w:styleId="ListNumber3">
    <w:name w:val="List Number 3"/>
    <w:basedOn w:val="List3"/>
    <w:rsid w:val="002341C2"/>
    <w:pPr>
      <w:numPr>
        <w:numId w:val="3"/>
      </w:numPr>
    </w:pPr>
  </w:style>
  <w:style w:type="paragraph" w:styleId="ListNumber4">
    <w:name w:val="List Number 4"/>
    <w:basedOn w:val="List4"/>
    <w:rsid w:val="002341C2"/>
    <w:pPr>
      <w:numPr>
        <w:numId w:val="4"/>
      </w:numPr>
    </w:pPr>
  </w:style>
  <w:style w:type="paragraph" w:styleId="ListNumber5">
    <w:name w:val="List Number 5"/>
    <w:basedOn w:val="List5"/>
    <w:rsid w:val="002341C2"/>
    <w:pPr>
      <w:numPr>
        <w:numId w:val="5"/>
      </w:numPr>
    </w:pPr>
  </w:style>
  <w:style w:type="paragraph" w:styleId="BlockText">
    <w:name w:val="Block Text"/>
    <w:basedOn w:val="Normal"/>
    <w:rsid w:val="00234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1C2"/>
    <w:rPr>
      <w:sz w:val="16"/>
      <w:vertAlign w:val="superscript"/>
    </w:rPr>
  </w:style>
  <w:style w:type="character" w:customStyle="1" w:styleId="Symbols">
    <w:name w:val="Symbols"/>
    <w:basedOn w:val="DefaultParagraphFont"/>
    <w:rsid w:val="002341C2"/>
    <w:rPr>
      <w:rFonts w:ascii="Symbol" w:hAnsi="Symbol"/>
    </w:rPr>
  </w:style>
  <w:style w:type="character" w:customStyle="1" w:styleId="MenuOptions">
    <w:name w:val="Menu Options"/>
    <w:basedOn w:val="DefaultParagraphFont"/>
    <w:rsid w:val="00234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1C2"/>
    <w:rPr>
      <w:b/>
    </w:rPr>
  </w:style>
  <w:style w:type="character" w:customStyle="1" w:styleId="Underlined">
    <w:name w:val="Underlined"/>
    <w:basedOn w:val="DefaultParagraphFont"/>
    <w:rsid w:val="002341C2"/>
    <w:rPr>
      <w:u w:val="single"/>
    </w:rPr>
  </w:style>
  <w:style w:type="paragraph" w:customStyle="1" w:styleId="TableBodyTextRight">
    <w:name w:val="Table Body Text Right"/>
    <w:basedOn w:val="TableBodyText"/>
    <w:rsid w:val="00234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1C2"/>
    <w:rPr>
      <w:sz w:val="18"/>
    </w:rPr>
  </w:style>
  <w:style w:type="paragraph" w:customStyle="1" w:styleId="BodySmallRight">
    <w:name w:val="Body Small Right"/>
    <w:basedOn w:val="BodyTextRight"/>
    <w:rsid w:val="002341C2"/>
    <w:rPr>
      <w:sz w:val="18"/>
      <w:szCs w:val="18"/>
    </w:rPr>
  </w:style>
  <w:style w:type="paragraph" w:customStyle="1" w:styleId="MarginEdition">
    <w:name w:val="Margin Edition"/>
    <w:basedOn w:val="MarginNote"/>
    <w:rsid w:val="00234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1C2"/>
    <w:rPr>
      <w:sz w:val="2"/>
      <w:szCs w:val="2"/>
    </w:rPr>
  </w:style>
  <w:style w:type="character" w:customStyle="1" w:styleId="Small">
    <w:name w:val="Small"/>
    <w:basedOn w:val="DefaultParagraphFont"/>
    <w:rsid w:val="002341C2"/>
    <w:rPr>
      <w:sz w:val="16"/>
    </w:rPr>
  </w:style>
  <w:style w:type="paragraph" w:customStyle="1" w:styleId="WideTable">
    <w:name w:val="Wide Table"/>
    <w:basedOn w:val="Normal"/>
    <w:rsid w:val="00234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1C2"/>
  </w:style>
  <w:style w:type="paragraph" w:styleId="Quote">
    <w:name w:val="Quote"/>
    <w:basedOn w:val="Heading1"/>
    <w:link w:val="QuoteChar"/>
    <w:qFormat/>
    <w:rsid w:val="00234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1C2"/>
    <w:pPr>
      <w:pageBreakBefore/>
    </w:pPr>
  </w:style>
  <w:style w:type="paragraph" w:customStyle="1" w:styleId="Border">
    <w:name w:val="Border"/>
    <w:basedOn w:val="Normal"/>
    <w:qFormat/>
    <w:rsid w:val="00234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1C2"/>
    <w:rPr>
      <w:u w:val="single"/>
    </w:rPr>
  </w:style>
  <w:style w:type="character" w:customStyle="1" w:styleId="BoldandItalics">
    <w:name w:val="Bold and Italics"/>
    <w:qFormat/>
    <w:rsid w:val="002341C2"/>
    <w:rPr>
      <w:b/>
      <w:i/>
      <w:u w:val="none"/>
    </w:rPr>
  </w:style>
  <w:style w:type="paragraph" w:styleId="BalloonText">
    <w:name w:val="Balloon Text"/>
    <w:basedOn w:val="Normal"/>
    <w:link w:val="BalloonTextChar"/>
    <w:rsid w:val="00234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1C2"/>
    <w:pPr>
      <w:spacing w:before="0" w:after="0"/>
    </w:pPr>
  </w:style>
  <w:style w:type="paragraph" w:customStyle="1" w:styleId="BodyTextBold">
    <w:name w:val="Body Text Bold"/>
    <w:basedOn w:val="BodyText"/>
    <w:qFormat/>
    <w:rsid w:val="002341C2"/>
    <w:rPr>
      <w:b/>
    </w:rPr>
  </w:style>
  <w:style w:type="character" w:styleId="Hyperlink">
    <w:name w:val="Hyperlink"/>
    <w:basedOn w:val="DefaultParagraphFont"/>
    <w:uiPriority w:val="99"/>
    <w:unhideWhenUsed/>
    <w:rsid w:val="00116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2938</Characters>
  <Application>Microsoft Office Word</Application>
  <DocSecurity>0</DocSecurity>
  <Lines>104</Lines>
  <Paragraphs>55</Paragraphs>
  <ScaleCrop>false</ScaleCrop>
  <Company>Author-it Software Corporation Ltd.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AMPA3004 Monitor the effective operations of electrical stimulation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