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F07" w:rsidP="00E54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AMPA3003 Assess effective stunning and bleeding</w:t>
      </w:r>
      <w:r>
        <w:fldChar w:fldCharType="end"/>
      </w:r>
    </w:p>
    <w:p w:rsidR="00E54F07" w:rsidP="00E54F07">
      <w:pPr>
        <w:pStyle w:val="Version"/>
        <w:sectPr w:rsidSect="00970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F6E" w:rsidP="00970F6E">
      <w:pPr>
        <w:pStyle w:val="SuperHeading"/>
      </w:pPr>
      <w:r w:rsidRPr="00970F6E">
        <w:t>AMPA3003 Assess effective stunning and bleeding</w:t>
      </w:r>
    </w:p>
    <w:p w:rsidR="00000000" w:rsidRPr="00970F6E" w:rsidP="00970F6E">
      <w:pPr>
        <w:pStyle w:val="Heading1"/>
      </w:pPr>
      <w:bookmarkStart w:id="1" w:name="O_891521"/>
      <w:bookmarkEnd w:id="1"/>
      <w:r w:rsidRPr="00970F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70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TableHeading"/>
              <w:rPr>
                <w:lang w:val="en-NZ"/>
              </w:rPr>
            </w:pPr>
            <w:r w:rsidRPr="00970F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TableHeading"/>
              <w:rPr>
                <w:lang w:val="en-NZ"/>
              </w:rPr>
            </w:pPr>
            <w:r w:rsidRPr="00970F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TableHeading"/>
              <w:rPr>
                <w:lang w:val="en-NZ"/>
              </w:rPr>
            </w:pPr>
            <w:r w:rsidRPr="00970F6E">
              <w:t>Comment</w:t>
            </w:r>
          </w:p>
        </w:tc>
      </w:tr>
      <w:tr w:rsidTr="00970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BodyText"/>
              <w:rPr>
                <w:lang w:val="en-NZ"/>
              </w:rPr>
            </w:pPr>
            <w:r w:rsidRPr="00970F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BodyText"/>
              <w:rPr>
                <w:lang w:val="en-NZ"/>
              </w:rPr>
            </w:pPr>
            <w:r w:rsidRPr="00970F6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F6E" w:rsidP="00970F6E">
            <w:pPr>
              <w:pStyle w:val="BodyText"/>
            </w:pPr>
            <w:r w:rsidRPr="00970F6E">
              <w:t>Initial release</w:t>
            </w:r>
          </w:p>
        </w:tc>
      </w:tr>
    </w:tbl>
    <w:p w:rsidR="00000000" w:rsidRPr="00970F6E" w:rsidP="00970F6E">
      <w:pPr>
        <w:pStyle w:val="BodyText"/>
      </w:pPr>
    </w:p>
    <w:p w:rsidR="00000000" w:rsidRPr="00970F6E" w:rsidP="00970F6E">
      <w:pPr>
        <w:pStyle w:val="AllowPageBreak"/>
      </w:pPr>
    </w:p>
    <w:p w:rsidR="00000000" w:rsidRPr="00970F6E" w:rsidP="00970F6E">
      <w:pPr>
        <w:pStyle w:val="Heading1"/>
      </w:pPr>
      <w:bookmarkStart w:id="2" w:name="O_891522"/>
      <w:bookmarkEnd w:id="2"/>
      <w:r w:rsidRPr="00970F6E">
        <w:t>Application</w:t>
      </w:r>
    </w:p>
    <w:p w:rsidR="00000000" w:rsidRPr="00970F6E" w:rsidP="00E54F07">
      <w:pPr>
        <w:pStyle w:val="BodyText"/>
      </w:pPr>
      <w:r w:rsidRPr="00970F6E">
        <w:t>This unit describes the skills and knowledge required to assess the humane and effective stunning and slaughter of animals.</w:t>
      </w:r>
    </w:p>
    <w:p w:rsidR="00000000" w:rsidRPr="00970F6E" w:rsidP="00E54F07">
      <w:pPr>
        <w:pStyle w:val="BodyText"/>
      </w:pPr>
      <w:r w:rsidRPr="00970F6E">
        <w:t>This Unit is applicable to the assessment of the effectiveness of stunning and bleeding in a slaughtering establishment. The training would normally be undertaken by Quality Assurance officers and supervisors who monitor the humane slaughtering of animals.</w:t>
      </w:r>
    </w:p>
    <w:p w:rsidR="00000000" w:rsidRPr="00970F6E" w:rsidP="00E54F07">
      <w:pPr>
        <w:pStyle w:val="BodyText"/>
      </w:pPr>
      <w:r w:rsidRPr="00970F6E">
        <w:t>This Unit will fulfil the importing country requirements for meat processing establishments exporting to the European Union, and meets the European Union Regulation EC 1099/2009 training requirements for the assessment of effective stunning and bleeding.</w:t>
      </w:r>
    </w:p>
    <w:p w:rsidR="00000000" w:rsidRPr="00970F6E" w:rsidP="00E54F07">
      <w:pPr>
        <w:pStyle w:val="BodyText"/>
      </w:pPr>
      <w:r w:rsidRPr="00970F6E">
        <w:t>All work should be carried out to comply with workplace procedures, customer requirements and product specifications.</w:t>
      </w:r>
    </w:p>
    <w:p w:rsidR="00000000" w:rsidRPr="00970F6E" w:rsidP="00E54F07">
      <w:pPr>
        <w:pStyle w:val="BodyText"/>
      </w:pPr>
      <w:r w:rsidRPr="00970F6E">
        <w:t>This unit applies to individuals who work under broad direction and take responsibility for their own work including limited responsibi</w:t>
      </w:r>
      <w:r w:rsidRPr="00970F6E">
        <w:t>lity for the work of others. They provide and communicate solutions to a range of predictable problems.</w:t>
      </w:r>
    </w:p>
    <w:p w:rsidR="00000000" w:rsidRPr="00970F6E" w:rsidP="00E54F07">
      <w:pPr>
        <w:pStyle w:val="BodyText"/>
      </w:pPr>
      <w:r w:rsidRPr="00970F6E">
        <w:t>No occupational licensing, legislative or certification requirements are known to apply to this unit at the time of publication.</w:t>
      </w:r>
    </w:p>
    <w:p w:rsidR="00000000" w:rsidRPr="00970F6E" w:rsidP="00E54F07">
      <w:pPr>
        <w:pStyle w:val="BodyText"/>
      </w:pPr>
      <w:r w:rsidRPr="00970F6E">
        <w:t>This unit must be del</w:t>
      </w:r>
      <w:r w:rsidRPr="00970F6E">
        <w:t>ivered and assessed in the context of Australian meat processing standards and regulations.</w:t>
      </w:r>
    </w:p>
    <w:p w:rsidR="00000000" w:rsidRPr="00970F6E" w:rsidP="00970F6E">
      <w:pPr>
        <w:pStyle w:val="Heading1"/>
      </w:pPr>
      <w:bookmarkStart w:id="3" w:name="O_891523"/>
      <w:bookmarkEnd w:id="3"/>
      <w:r w:rsidRPr="00970F6E">
        <w:t>Pre-requisite Unit</w:t>
      </w:r>
    </w:p>
    <w:p w:rsidR="00000000" w:rsidRPr="00970F6E" w:rsidP="00E54F07">
      <w:pPr>
        <w:pStyle w:val="BodyText"/>
      </w:pPr>
      <w:r w:rsidRPr="00970F6E">
        <w:t>Nil.</w:t>
      </w:r>
    </w:p>
    <w:p w:rsidR="00000000" w:rsidRPr="00970F6E" w:rsidP="00970F6E">
      <w:pPr>
        <w:pStyle w:val="Heading1"/>
      </w:pPr>
      <w:bookmarkStart w:id="4" w:name="O_891525"/>
      <w:bookmarkEnd w:id="4"/>
      <w:r w:rsidRPr="00970F6E">
        <w:t>Unit Sector</w:t>
      </w:r>
    </w:p>
    <w:p w:rsidR="00000000" w:rsidRPr="00970F6E" w:rsidP="00970F6E">
      <w:pPr>
        <w:pStyle w:val="Heading1"/>
      </w:pPr>
      <w:bookmarkStart w:id="5" w:name="O_891526"/>
      <w:bookmarkEnd w:id="5"/>
      <w:r w:rsidRPr="00970F6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54F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TableHeading"/>
              <w:rPr>
                <w:lang w:val="en-NZ"/>
              </w:rPr>
            </w:pPr>
            <w:r w:rsidRPr="00970F6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TableHeading"/>
              <w:rPr>
                <w:lang w:val="en-NZ"/>
              </w:rPr>
            </w:pPr>
            <w:r w:rsidRPr="00970F6E">
              <w:t>Performance criteria</w:t>
            </w:r>
          </w:p>
        </w:tc>
      </w:tr>
      <w:tr w:rsidTr="00E54F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BodyText"/>
              <w:rPr>
                <w:lang w:val="en-NZ"/>
              </w:rPr>
            </w:pPr>
            <w:r w:rsidRPr="00970F6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BodyText"/>
              <w:rPr>
                <w:lang w:val="en-NZ"/>
              </w:rPr>
            </w:pPr>
            <w:r w:rsidRPr="00970F6E">
              <w:t>Performance criteria describe the performance needed to demonstrate achievement of the element.</w:t>
            </w:r>
          </w:p>
        </w:tc>
      </w:tr>
      <w:tr w:rsidTr="00E54F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List"/>
              <w:rPr>
                <w:lang w:val="en-NZ"/>
              </w:rPr>
            </w:pPr>
            <w:r w:rsidRPr="00970F6E">
              <w:t>1.</w:t>
            </w:r>
            <w:r w:rsidRPr="00970F6E">
              <w:tab/>
              <w:t>Assess the effective stunning of an animal prior to bleeding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F6E" w:rsidP="00970F6E">
            <w:pPr>
              <w:pStyle w:val="List"/>
            </w:pPr>
            <w:r w:rsidRPr="00970F6E">
              <w:t>1.1</w:t>
            </w:r>
            <w:r w:rsidRPr="00970F6E">
              <w:tab/>
              <w:t>Check animal for an effective stun prior to bleed</w:t>
            </w:r>
            <w:r w:rsidRPr="00970F6E">
              <w:t>ing</w:t>
            </w:r>
          </w:p>
          <w:p w:rsidR="00000000" w:rsidRPr="00970F6E" w:rsidP="00970F6E">
            <w:pPr>
              <w:pStyle w:val="List"/>
            </w:pPr>
            <w:r w:rsidRPr="00970F6E">
              <w:t>1.2</w:t>
            </w:r>
            <w:r w:rsidRPr="00970F6E">
              <w:tab/>
              <w:t>Take corrective action when effective stun is not achieved</w:t>
            </w:r>
          </w:p>
          <w:p w:rsidR="00000000" w:rsidRPr="00970F6E" w:rsidP="00970F6E">
            <w:pPr>
              <w:pStyle w:val="List"/>
            </w:pPr>
            <w:r w:rsidRPr="00970F6E">
              <w:t>1.3</w:t>
            </w:r>
            <w:r w:rsidRPr="00970F6E">
              <w:tab/>
              <w:t>Keep records of the assessment of effective stunning according to workplace requirements</w:t>
            </w:r>
          </w:p>
          <w:p w:rsidR="00000000" w:rsidP="00970F6E">
            <w:pPr>
              <w:pStyle w:val="List"/>
              <w:rPr>
                <w:lang w:val="en-NZ"/>
              </w:rPr>
            </w:pPr>
            <w:r w:rsidRPr="00970F6E">
              <w:t>1.4</w:t>
            </w:r>
            <w:r w:rsidRPr="00970F6E">
              <w:tab/>
              <w:t>Assess stunning against the applicable work instruction and Standard Operating Procedures to</w:t>
            </w:r>
            <w:r w:rsidRPr="00970F6E">
              <w:t xml:space="preserve"> ensure it is effective and humane</w:t>
            </w:r>
          </w:p>
        </w:tc>
      </w:tr>
      <w:tr w:rsidTr="00E54F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F6E">
            <w:pPr>
              <w:pStyle w:val="List"/>
              <w:rPr>
                <w:lang w:val="en-NZ"/>
              </w:rPr>
            </w:pPr>
            <w:r w:rsidRPr="00970F6E">
              <w:t>2.</w:t>
            </w:r>
            <w:r w:rsidRPr="00970F6E">
              <w:tab/>
              <w:t>Check for bleed chain insensibility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F6E" w:rsidP="00970F6E">
            <w:pPr>
              <w:pStyle w:val="List"/>
            </w:pPr>
            <w:r w:rsidRPr="00970F6E">
              <w:t>2.1</w:t>
            </w:r>
            <w:r w:rsidRPr="00970F6E">
              <w:tab/>
              <w:t>Check animals for insensibility on the bleed chain</w:t>
            </w:r>
          </w:p>
          <w:p w:rsidR="00000000" w:rsidRPr="00970F6E" w:rsidP="00970F6E">
            <w:pPr>
              <w:pStyle w:val="List"/>
            </w:pPr>
            <w:r w:rsidRPr="00970F6E">
              <w:t>2.2</w:t>
            </w:r>
            <w:r w:rsidRPr="00970F6E">
              <w:tab/>
              <w:t>Immediately report signs of sensibility and take immediate corrective action</w:t>
            </w:r>
          </w:p>
          <w:p w:rsidR="00000000" w:rsidRPr="00970F6E" w:rsidP="00970F6E">
            <w:pPr>
              <w:pStyle w:val="List"/>
            </w:pPr>
            <w:r w:rsidRPr="00970F6E">
              <w:t>2.3</w:t>
            </w:r>
            <w:r w:rsidRPr="00970F6E">
              <w:tab/>
              <w:t xml:space="preserve">Keep records of the </w:t>
            </w:r>
            <w:r w:rsidRPr="00970F6E">
              <w:t>assessment of effective stunning and bleeding according to workplace requirements</w:t>
            </w:r>
          </w:p>
          <w:p w:rsidR="00000000" w:rsidRPr="00970F6E" w:rsidP="00970F6E">
            <w:pPr>
              <w:pStyle w:val="List"/>
            </w:pPr>
            <w:r w:rsidRPr="00970F6E">
              <w:t>2.4</w:t>
            </w:r>
            <w:r w:rsidRPr="00970F6E">
              <w:tab/>
              <w:t>Assess bleeding against the applicable work instruction and Standard Operating Procedures to ensure it is effective and humane</w:t>
            </w:r>
          </w:p>
        </w:tc>
      </w:tr>
    </w:tbl>
    <w:p w:rsidR="00000000" w:rsidRPr="00970F6E" w:rsidP="00970F6E">
      <w:pPr>
        <w:pStyle w:val="BodyText"/>
      </w:pPr>
    </w:p>
    <w:p w:rsidR="00000000" w:rsidRPr="00970F6E" w:rsidP="00970F6E">
      <w:pPr>
        <w:pStyle w:val="AllowPageBreak"/>
      </w:pPr>
    </w:p>
    <w:p w:rsidR="00000000" w:rsidRPr="00970F6E" w:rsidP="00970F6E">
      <w:pPr>
        <w:pStyle w:val="Heading1"/>
      </w:pPr>
      <w:bookmarkStart w:id="6" w:name="O_891527"/>
      <w:bookmarkEnd w:id="6"/>
      <w:r w:rsidRPr="00970F6E">
        <w:t>Foundation Skills</w:t>
      </w:r>
    </w:p>
    <w:p w:rsidR="00000000" w:rsidRPr="00970F6E" w:rsidP="00E54F07">
      <w:pPr>
        <w:pStyle w:val="BodyText"/>
      </w:pPr>
      <w:r w:rsidRPr="00970F6E">
        <w:t>Founda</w:t>
      </w:r>
      <w:r w:rsidRPr="00970F6E">
        <w:t>tion Skills essential to performance are explicit in the performance criteria of this unit of competency.</w:t>
      </w:r>
    </w:p>
    <w:p w:rsidR="00000000" w:rsidRPr="00970F6E" w:rsidP="00970F6E">
      <w:pPr>
        <w:pStyle w:val="Heading1"/>
      </w:pPr>
      <w:bookmarkStart w:id="7" w:name="O_891528"/>
      <w:bookmarkEnd w:id="7"/>
      <w:r w:rsidRPr="00970F6E">
        <w:t>Range of Conditions</w:t>
      </w:r>
    </w:p>
    <w:p w:rsidR="00000000" w:rsidRPr="00970F6E" w:rsidP="00970F6E">
      <w:pPr>
        <w:pStyle w:val="Heading1"/>
      </w:pPr>
      <w:bookmarkStart w:id="8" w:name="O_891529"/>
      <w:bookmarkEnd w:id="8"/>
      <w:r w:rsidRPr="00970F6E">
        <w:t>Unit Mapping Information</w:t>
      </w:r>
    </w:p>
    <w:p w:rsidR="00000000" w:rsidRPr="00970F6E" w:rsidP="00E54F07">
      <w:pPr>
        <w:pStyle w:val="BodyText"/>
      </w:pPr>
      <w:r w:rsidRPr="00970F6E">
        <w:t>This unit is equivalent to MTMP3004A Assess effective stunning and bleed</w:t>
      </w:r>
      <w:r w:rsidRPr="00970F6E">
        <w:t>ing.</w:t>
      </w:r>
    </w:p>
    <w:p w:rsidR="00000000" w:rsidRPr="00970F6E" w:rsidP="00970F6E">
      <w:pPr>
        <w:pStyle w:val="Heading1"/>
      </w:pPr>
      <w:bookmarkStart w:id="9" w:name="O_891536"/>
      <w:bookmarkEnd w:id="9"/>
      <w:r w:rsidRPr="00970F6E">
        <w:t>Links</w:t>
      </w:r>
    </w:p>
    <w:p w:rsidR="00000000" w:rsidRPr="00970F6E" w:rsidP="00E54F07">
      <w:pPr>
        <w:pStyle w:val="BodyText"/>
      </w:pPr>
      <w:r w:rsidRPr="00970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299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70F6E" w:rsidP="00970F6E"/>
    <w:sectPr w:rsidSect="00970F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6E" w:rsidRPr="00E54F07" w:rsidP="00E54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07" w:rsidP="00970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F07" w:rsidP="00970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4F07" w:rsidP="00970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F6E" w:rsidRPr="00E54F07" w:rsidP="00E54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07" w:rsidRPr="002D2AF8" w:rsidP="00970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AMPA3003 Assess effective stunning and bleeding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54F07" w:rsidP="00970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F6E"/>
  </w:style>
  <w:style w:type="character" w:customStyle="1" w:styleId="Heading1Char">
    <w:name w:val="Heading 1 Char"/>
    <w:basedOn w:val="DefaultParagraphFont"/>
    <w:link w:val="Heading1"/>
    <w:rsid w:val="00970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F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0F6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70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0F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0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F6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70F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0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F6E"/>
    <w:rPr>
      <w:b/>
      <w:spacing w:val="0"/>
    </w:rPr>
  </w:style>
  <w:style w:type="paragraph" w:customStyle="1" w:styleId="SuperTitle">
    <w:name w:val="SuperTitle"/>
    <w:basedOn w:val="Title"/>
    <w:rsid w:val="00970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F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F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F6E"/>
    <w:rPr>
      <w:i/>
    </w:rPr>
  </w:style>
  <w:style w:type="paragraph" w:styleId="Caption">
    <w:name w:val="caption"/>
    <w:basedOn w:val="BodyText"/>
    <w:next w:val="Normal"/>
    <w:qFormat/>
    <w:rsid w:val="00970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F6E"/>
  </w:style>
  <w:style w:type="paragraph" w:styleId="TableofFigures">
    <w:name w:val="table of figures"/>
    <w:basedOn w:val="Normal"/>
    <w:next w:val="Normal"/>
    <w:semiHidden/>
    <w:rsid w:val="00970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F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0F6E"/>
    <w:rPr>
      <w:rFonts w:ascii="Wingdings" w:hAnsi="Wingdings"/>
    </w:rPr>
  </w:style>
  <w:style w:type="character" w:customStyle="1" w:styleId="HotSpot">
    <w:name w:val="HotSpot"/>
    <w:rsid w:val="00970F6E"/>
    <w:rPr>
      <w:color w:val="0033CC"/>
      <w:u w:val="none"/>
    </w:rPr>
  </w:style>
  <w:style w:type="paragraph" w:customStyle="1" w:styleId="BodyTextRight">
    <w:name w:val="Body Text Right"/>
    <w:basedOn w:val="BodyText"/>
    <w:rsid w:val="00970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F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F6E"/>
    <w:rPr>
      <w:sz w:val="32"/>
    </w:rPr>
  </w:style>
  <w:style w:type="paragraph" w:customStyle="1" w:styleId="HeadingProcedure">
    <w:name w:val="Heading Procedure"/>
    <w:basedOn w:val="HeadingBase"/>
    <w:next w:val="Normal"/>
    <w:rsid w:val="00970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F6E"/>
    <w:pPr>
      <w:spacing w:before="60" w:after="60"/>
    </w:pPr>
  </w:style>
  <w:style w:type="paragraph" w:styleId="ListContinue">
    <w:name w:val="List Continue"/>
    <w:basedOn w:val="List"/>
    <w:rsid w:val="00970F6E"/>
    <w:pPr>
      <w:ind w:firstLine="0"/>
    </w:pPr>
  </w:style>
  <w:style w:type="paragraph" w:customStyle="1" w:styleId="ListNote">
    <w:name w:val="List Note"/>
    <w:basedOn w:val="List"/>
    <w:rsid w:val="00970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F6E"/>
    <w:rPr>
      <w:rFonts w:ascii="Courier New" w:hAnsi="Courier New"/>
    </w:rPr>
  </w:style>
  <w:style w:type="paragraph" w:customStyle="1" w:styleId="NoteBullet">
    <w:name w:val="Note Bullet"/>
    <w:basedOn w:val="Note"/>
    <w:rsid w:val="00970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F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0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F6E"/>
    <w:rPr>
      <w:b/>
      <w:smallCaps/>
    </w:rPr>
  </w:style>
  <w:style w:type="paragraph" w:customStyle="1" w:styleId="TableListNumber">
    <w:name w:val="Table List Number"/>
    <w:basedOn w:val="ListNumber"/>
    <w:rsid w:val="00970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F6E"/>
    <w:pPr>
      <w:numPr>
        <w:numId w:val="7"/>
      </w:numPr>
    </w:pPr>
  </w:style>
  <w:style w:type="paragraph" w:customStyle="1" w:styleId="ListAlpha2">
    <w:name w:val="List Alpha 2"/>
    <w:basedOn w:val="List2"/>
    <w:rsid w:val="00970F6E"/>
    <w:pPr>
      <w:numPr>
        <w:numId w:val="6"/>
      </w:numPr>
    </w:pPr>
  </w:style>
  <w:style w:type="paragraph" w:styleId="List2">
    <w:name w:val="List 2"/>
    <w:basedOn w:val="BodyText"/>
    <w:rsid w:val="00970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F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F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0F6E"/>
    <w:pPr>
      <w:numPr>
        <w:numId w:val="2"/>
      </w:numPr>
    </w:pPr>
  </w:style>
  <w:style w:type="paragraph" w:styleId="ListContinue2">
    <w:name w:val="List Continue 2"/>
    <w:basedOn w:val="List2"/>
    <w:rsid w:val="00970F6E"/>
    <w:pPr>
      <w:ind w:firstLine="0"/>
    </w:pPr>
  </w:style>
  <w:style w:type="paragraph" w:styleId="ListContinue3">
    <w:name w:val="List Continue 3"/>
    <w:basedOn w:val="List3"/>
    <w:rsid w:val="00970F6E"/>
    <w:pPr>
      <w:ind w:left="1021" w:firstLine="0"/>
    </w:pPr>
  </w:style>
  <w:style w:type="paragraph" w:styleId="ListContinue4">
    <w:name w:val="List Continue 4"/>
    <w:basedOn w:val="List4"/>
    <w:rsid w:val="00970F6E"/>
    <w:pPr>
      <w:ind w:firstLine="0"/>
    </w:pPr>
  </w:style>
  <w:style w:type="paragraph" w:styleId="ListContinue5">
    <w:name w:val="List Continue 5"/>
    <w:basedOn w:val="List5"/>
    <w:rsid w:val="00970F6E"/>
    <w:pPr>
      <w:ind w:firstLine="0"/>
    </w:pPr>
  </w:style>
  <w:style w:type="paragraph" w:styleId="ListNumber3">
    <w:name w:val="List Number 3"/>
    <w:basedOn w:val="List3"/>
    <w:rsid w:val="00970F6E"/>
    <w:pPr>
      <w:numPr>
        <w:numId w:val="3"/>
      </w:numPr>
    </w:pPr>
  </w:style>
  <w:style w:type="paragraph" w:styleId="ListNumber4">
    <w:name w:val="List Number 4"/>
    <w:basedOn w:val="List4"/>
    <w:rsid w:val="00970F6E"/>
    <w:pPr>
      <w:numPr>
        <w:numId w:val="4"/>
      </w:numPr>
    </w:pPr>
  </w:style>
  <w:style w:type="paragraph" w:styleId="ListNumber5">
    <w:name w:val="List Number 5"/>
    <w:basedOn w:val="List5"/>
    <w:rsid w:val="00970F6E"/>
    <w:pPr>
      <w:numPr>
        <w:numId w:val="5"/>
      </w:numPr>
    </w:pPr>
  </w:style>
  <w:style w:type="paragraph" w:styleId="BlockText">
    <w:name w:val="Block Text"/>
    <w:basedOn w:val="Normal"/>
    <w:rsid w:val="00970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F6E"/>
    <w:rPr>
      <w:sz w:val="16"/>
      <w:vertAlign w:val="superscript"/>
    </w:rPr>
  </w:style>
  <w:style w:type="character" w:customStyle="1" w:styleId="Symbols">
    <w:name w:val="Symbols"/>
    <w:basedOn w:val="DefaultParagraphFont"/>
    <w:rsid w:val="00970F6E"/>
    <w:rPr>
      <w:rFonts w:ascii="Symbol" w:hAnsi="Symbol"/>
    </w:rPr>
  </w:style>
  <w:style w:type="character" w:customStyle="1" w:styleId="MenuOptions">
    <w:name w:val="Menu Options"/>
    <w:basedOn w:val="DefaultParagraphFont"/>
    <w:rsid w:val="00970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F6E"/>
    <w:rPr>
      <w:b/>
    </w:rPr>
  </w:style>
  <w:style w:type="character" w:customStyle="1" w:styleId="Underlined">
    <w:name w:val="Underlined"/>
    <w:basedOn w:val="DefaultParagraphFont"/>
    <w:rsid w:val="00970F6E"/>
    <w:rPr>
      <w:u w:val="single"/>
    </w:rPr>
  </w:style>
  <w:style w:type="paragraph" w:customStyle="1" w:styleId="TableBodyTextRight">
    <w:name w:val="Table Body Text Right"/>
    <w:basedOn w:val="TableBodyText"/>
    <w:rsid w:val="00970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F6E"/>
    <w:rPr>
      <w:sz w:val="18"/>
    </w:rPr>
  </w:style>
  <w:style w:type="paragraph" w:customStyle="1" w:styleId="BodySmallRight">
    <w:name w:val="Body Small Right"/>
    <w:basedOn w:val="BodyTextRight"/>
    <w:rsid w:val="00970F6E"/>
    <w:rPr>
      <w:sz w:val="18"/>
      <w:szCs w:val="18"/>
    </w:rPr>
  </w:style>
  <w:style w:type="paragraph" w:customStyle="1" w:styleId="MarginEdition">
    <w:name w:val="Margin Edition"/>
    <w:basedOn w:val="MarginNote"/>
    <w:rsid w:val="00970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F6E"/>
    <w:rPr>
      <w:sz w:val="2"/>
      <w:szCs w:val="2"/>
    </w:rPr>
  </w:style>
  <w:style w:type="character" w:customStyle="1" w:styleId="Small">
    <w:name w:val="Small"/>
    <w:basedOn w:val="DefaultParagraphFont"/>
    <w:rsid w:val="00970F6E"/>
    <w:rPr>
      <w:sz w:val="16"/>
    </w:rPr>
  </w:style>
  <w:style w:type="paragraph" w:customStyle="1" w:styleId="WideTable">
    <w:name w:val="Wide Table"/>
    <w:basedOn w:val="Normal"/>
    <w:rsid w:val="00970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F6E"/>
  </w:style>
  <w:style w:type="paragraph" w:styleId="Quote">
    <w:name w:val="Quote"/>
    <w:basedOn w:val="Heading1"/>
    <w:link w:val="QuoteChar"/>
    <w:qFormat/>
    <w:rsid w:val="00970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F6E"/>
    <w:pPr>
      <w:pageBreakBefore/>
    </w:pPr>
  </w:style>
  <w:style w:type="paragraph" w:customStyle="1" w:styleId="Border">
    <w:name w:val="Border"/>
    <w:basedOn w:val="Normal"/>
    <w:qFormat/>
    <w:rsid w:val="00970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F6E"/>
    <w:rPr>
      <w:u w:val="single"/>
    </w:rPr>
  </w:style>
  <w:style w:type="character" w:customStyle="1" w:styleId="BoldandItalics">
    <w:name w:val="Bold and Italics"/>
    <w:qFormat/>
    <w:rsid w:val="00970F6E"/>
    <w:rPr>
      <w:b/>
      <w:i/>
      <w:u w:val="none"/>
    </w:rPr>
  </w:style>
  <w:style w:type="paragraph" w:styleId="BalloonText">
    <w:name w:val="Balloon Text"/>
    <w:basedOn w:val="Normal"/>
    <w:link w:val="BalloonTextChar"/>
    <w:rsid w:val="00970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F6E"/>
    <w:pPr>
      <w:spacing w:before="0" w:after="0"/>
    </w:pPr>
  </w:style>
  <w:style w:type="paragraph" w:customStyle="1" w:styleId="BodyTextBold">
    <w:name w:val="Body Text Bold"/>
    <w:basedOn w:val="BodyText"/>
    <w:qFormat/>
    <w:rsid w:val="00970F6E"/>
    <w:rPr>
      <w:b/>
    </w:rPr>
  </w:style>
  <w:style w:type="character" w:styleId="Hyperlink">
    <w:name w:val="Hyperlink"/>
    <w:basedOn w:val="DefaultParagraphFont"/>
    <w:uiPriority w:val="99"/>
    <w:unhideWhenUsed/>
    <w:rsid w:val="00E54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2643</Characters>
  <Application>Microsoft Office Word</Application>
  <DocSecurity>0</DocSecurity>
  <Lines>91</Lines>
  <Paragraphs>52</Paragraphs>
  <ScaleCrop>false</ScaleCrop>
  <Company>Author-it Software Corporation Ltd.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AMPA3003 Assess effective stunning and bleeding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