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CC0" w:rsidP="00FA0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AMPA3003 Assess effective stunning and bleeding</w:t>
      </w:r>
      <w:r>
        <w:fldChar w:fldCharType="end"/>
      </w:r>
    </w:p>
    <w:p w:rsidR="00FA0CC0" w:rsidP="00FA0CC0">
      <w:pPr>
        <w:pStyle w:val="Version"/>
        <w:sectPr w:rsidSect="002C5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99B" w:rsidP="002C599B">
      <w:pPr>
        <w:pStyle w:val="SuperHeading"/>
      </w:pPr>
      <w:r w:rsidRPr="002C599B">
        <w:t>Assessment Requirements for AMPA3003 Assess effective stunning and bleeding</w:t>
      </w:r>
    </w:p>
    <w:p w:rsidR="00000000" w:rsidRPr="002C599B" w:rsidP="002C599B">
      <w:pPr>
        <w:pStyle w:val="Heading1"/>
      </w:pPr>
      <w:bookmarkStart w:id="1" w:name="O_891531"/>
      <w:bookmarkEnd w:id="1"/>
      <w:r w:rsidRPr="002C59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C5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9B">
            <w:pPr>
              <w:pStyle w:val="TableHeading"/>
              <w:rPr>
                <w:lang w:val="en-NZ"/>
              </w:rPr>
            </w:pPr>
            <w:r w:rsidRPr="002C59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9B">
            <w:pPr>
              <w:pStyle w:val="TableHeading"/>
              <w:rPr>
                <w:lang w:val="en-NZ"/>
              </w:rPr>
            </w:pPr>
            <w:r w:rsidRPr="002C59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9B">
            <w:pPr>
              <w:pStyle w:val="TableHeading"/>
              <w:rPr>
                <w:lang w:val="en-NZ"/>
              </w:rPr>
            </w:pPr>
            <w:r w:rsidRPr="002C599B">
              <w:t>Comment</w:t>
            </w:r>
          </w:p>
        </w:tc>
      </w:tr>
      <w:tr w:rsidTr="002C5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9B">
            <w:pPr>
              <w:pStyle w:val="BodyText"/>
              <w:rPr>
                <w:lang w:val="en-NZ"/>
              </w:rPr>
            </w:pPr>
            <w:r w:rsidRPr="002C59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99B">
            <w:pPr>
              <w:pStyle w:val="BodyText"/>
              <w:rPr>
                <w:lang w:val="en-NZ"/>
              </w:rPr>
            </w:pPr>
            <w:r w:rsidRPr="002C599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99B" w:rsidP="002C599B">
            <w:pPr>
              <w:pStyle w:val="BodyText"/>
            </w:pPr>
            <w:r w:rsidRPr="002C599B">
              <w:t>Initial release</w:t>
            </w:r>
          </w:p>
        </w:tc>
      </w:tr>
    </w:tbl>
    <w:p w:rsidR="00000000" w:rsidRPr="002C599B" w:rsidP="002C599B">
      <w:pPr>
        <w:pStyle w:val="BodyText"/>
      </w:pPr>
    </w:p>
    <w:p w:rsidR="00000000" w:rsidRPr="002C599B" w:rsidP="002C599B">
      <w:pPr>
        <w:pStyle w:val="AllowPageBreak"/>
      </w:pPr>
    </w:p>
    <w:p w:rsidR="00000000" w:rsidRPr="002C599B" w:rsidP="002C599B">
      <w:pPr>
        <w:pStyle w:val="Heading1"/>
      </w:pPr>
      <w:bookmarkStart w:id="2" w:name="O_891532"/>
      <w:bookmarkEnd w:id="2"/>
      <w:r w:rsidRPr="002C599B">
        <w:t>Performance Evidence</w:t>
      </w:r>
    </w:p>
    <w:p w:rsidR="00000000" w:rsidRPr="002C599B" w:rsidP="00FA0CC0">
      <w:pPr>
        <w:pStyle w:val="BodyText"/>
      </w:pPr>
      <w:r w:rsidRPr="002C599B">
        <w:t>The candidate must assess the humane and effective stunning and slaughter of animals.</w:t>
      </w:r>
    </w:p>
    <w:p w:rsidR="00000000" w:rsidRPr="002C599B" w:rsidP="00FA0CC0">
      <w:pPr>
        <w:pStyle w:val="BodyText"/>
      </w:pPr>
      <w:r w:rsidRPr="002C599B">
        <w:t xml:space="preserve">The candidate must: </w:t>
      </w:r>
    </w:p>
    <w:p w:rsidR="00000000" w:rsidRPr="002C599B" w:rsidP="002C599B">
      <w:pPr>
        <w:pStyle w:val="ListBullet"/>
      </w:pPr>
      <w:r w:rsidRPr="002C599B">
        <w:t>assess effectiveness of animal stunning in accordance with workplace and regulatory requirements</w:t>
      </w:r>
    </w:p>
    <w:p w:rsidR="00000000" w:rsidRPr="002C599B" w:rsidP="002C599B">
      <w:pPr>
        <w:pStyle w:val="ListBullet"/>
      </w:pPr>
      <w:r w:rsidRPr="002C599B">
        <w:t>record assessment of bleed chain insensibility acc</w:t>
      </w:r>
      <w:r w:rsidRPr="002C599B">
        <w:t>ording to the workplace requirements</w:t>
      </w:r>
    </w:p>
    <w:p w:rsidR="00000000" w:rsidRPr="002C599B" w:rsidP="002C599B">
      <w:pPr>
        <w:pStyle w:val="ListBullet"/>
      </w:pPr>
      <w:r w:rsidRPr="002C599B">
        <w:t>identify the causes of bleed chain insensibility</w:t>
      </w:r>
    </w:p>
    <w:p w:rsidR="00000000" w:rsidRPr="002C599B" w:rsidP="002C599B">
      <w:pPr>
        <w:pStyle w:val="ListBullet"/>
      </w:pPr>
      <w:r w:rsidRPr="002C599B">
        <w:t>read and interpret electronic data (where applicable)</w:t>
      </w:r>
    </w:p>
    <w:p w:rsidR="00000000" w:rsidRPr="002C599B" w:rsidP="002C599B">
      <w:pPr>
        <w:pStyle w:val="ListBullet"/>
      </w:pPr>
      <w:r w:rsidRPr="002C599B">
        <w:t>monitor bleed chain insensibility according to workplace requirements</w:t>
      </w:r>
    </w:p>
    <w:p w:rsidR="00000000" w:rsidRPr="002C599B" w:rsidP="002C599B">
      <w:pPr>
        <w:pStyle w:val="ListBullet"/>
      </w:pPr>
      <w:r w:rsidRPr="002C599B">
        <w:t>implement procedures if stun or bleeding is no</w:t>
      </w:r>
      <w:r w:rsidRPr="002C599B">
        <w:t>t effective</w:t>
      </w:r>
    </w:p>
    <w:p w:rsidR="00000000" w:rsidRPr="002C599B" w:rsidP="002C599B">
      <w:pPr>
        <w:pStyle w:val="ListBullet"/>
      </w:pPr>
      <w:r w:rsidRPr="002C599B">
        <w:t>record monitoring and assessment results of stunning and or bleed chain insensibilities</w:t>
      </w:r>
    </w:p>
    <w:p w:rsidR="00000000" w:rsidRPr="002C599B" w:rsidP="002C599B">
      <w:pPr>
        <w:pStyle w:val="ListBullet"/>
      </w:pPr>
      <w:r w:rsidRPr="002C599B">
        <w:t>report stunning and bleeding failures</w:t>
      </w:r>
    </w:p>
    <w:p w:rsidR="00000000" w:rsidRPr="002C599B" w:rsidP="002C599B">
      <w:pPr>
        <w:pStyle w:val="ListBullet"/>
      </w:pPr>
      <w:r w:rsidRPr="002C599B">
        <w:t>apply relevant regulatory and work place requirements</w:t>
      </w:r>
    </w:p>
    <w:p w:rsidR="00000000" w:rsidRPr="002C599B" w:rsidP="002C599B">
      <w:pPr>
        <w:pStyle w:val="ListBullet"/>
      </w:pPr>
      <w:r w:rsidRPr="002C599B">
        <w:t>apply communication and mathematical skills relevant to work ins</w:t>
      </w:r>
      <w:r w:rsidRPr="002C599B">
        <w:t>tructions and Standard Operating Procedures (SOPs)</w:t>
      </w:r>
    </w:p>
    <w:p w:rsidR="00000000" w:rsidRPr="002C599B" w:rsidP="002C599B">
      <w:pPr>
        <w:pStyle w:val="ListBullet"/>
      </w:pPr>
      <w:r w:rsidRPr="002C599B">
        <w:t>follow workplace health and safety procedures</w:t>
      </w:r>
    </w:p>
    <w:p w:rsidR="00000000" w:rsidRPr="002C599B" w:rsidP="002C599B">
      <w:pPr>
        <w:pStyle w:val="AllowPageBreak"/>
      </w:pPr>
    </w:p>
    <w:p w:rsidR="00000000" w:rsidRPr="002C599B" w:rsidP="002C599B">
      <w:pPr>
        <w:pStyle w:val="Heading1"/>
      </w:pPr>
      <w:bookmarkStart w:id="3" w:name="O_891533"/>
      <w:bookmarkEnd w:id="3"/>
      <w:r w:rsidRPr="002C599B">
        <w:t>Knowledge Evidence</w:t>
      </w:r>
    </w:p>
    <w:p w:rsidR="00000000" w:rsidRPr="002C599B" w:rsidP="00FA0CC0">
      <w:pPr>
        <w:pStyle w:val="BodyText"/>
      </w:pPr>
      <w:r w:rsidRPr="002C599B">
        <w:t>The candidate must demonstrate a factual, technical, procedural and theoretical knowledge of:</w:t>
      </w:r>
    </w:p>
    <w:p w:rsidR="00000000" w:rsidRPr="002C599B" w:rsidP="002C599B">
      <w:pPr>
        <w:pStyle w:val="ListBullet"/>
      </w:pPr>
      <w:r w:rsidRPr="002C599B">
        <w:t>methods of stunning and thei</w:t>
      </w:r>
      <w:r w:rsidRPr="002C599B">
        <w:t>r application</w:t>
      </w:r>
    </w:p>
    <w:p w:rsidR="00000000" w:rsidRPr="002C599B" w:rsidP="002C599B">
      <w:pPr>
        <w:pStyle w:val="ListBullet"/>
      </w:pPr>
      <w:r w:rsidRPr="002C599B">
        <w:t>animal welfare requirements including importing country requirements where appropriate</w:t>
      </w:r>
    </w:p>
    <w:p w:rsidR="00000000" w:rsidRPr="002C599B" w:rsidP="002C599B">
      <w:pPr>
        <w:pStyle w:val="ListBullet"/>
      </w:pPr>
      <w:r w:rsidRPr="002C599B">
        <w:t>purpose of stunning animal</w:t>
      </w:r>
    </w:p>
    <w:p w:rsidR="00000000" w:rsidRPr="002C599B" w:rsidP="002C599B">
      <w:pPr>
        <w:pStyle w:val="ListBullet"/>
      </w:pPr>
      <w:r w:rsidRPr="002C599B">
        <w:t>the indicators of an effective stun</w:t>
      </w:r>
    </w:p>
    <w:p w:rsidR="00000000" w:rsidRPr="002C599B" w:rsidP="002C599B">
      <w:pPr>
        <w:pStyle w:val="ListBullet"/>
      </w:pPr>
      <w:r w:rsidRPr="002C599B">
        <w:t>signs of an ineffective stun</w:t>
      </w:r>
    </w:p>
    <w:p w:rsidR="00000000" w:rsidRPr="002C599B" w:rsidP="002C599B">
      <w:pPr>
        <w:pStyle w:val="ListBullet"/>
      </w:pPr>
      <w:r w:rsidRPr="002C599B">
        <w:t>animal welfare implications of ineffective stunning and bleeding</w:t>
      </w:r>
    </w:p>
    <w:p w:rsidR="00000000" w:rsidRPr="002C599B" w:rsidP="002C599B">
      <w:pPr>
        <w:pStyle w:val="ListBullet"/>
      </w:pPr>
      <w:r w:rsidRPr="002C599B">
        <w:t>workplace and regulatory requirements for monitoring stunning</w:t>
      </w:r>
    </w:p>
    <w:p w:rsidR="00000000" w:rsidRPr="002C599B" w:rsidP="002C599B">
      <w:pPr>
        <w:pStyle w:val="ListBullet"/>
      </w:pPr>
      <w:r w:rsidRPr="002C599B">
        <w:t>the causes of ineffective stunning and bleeding</w:t>
      </w:r>
    </w:p>
    <w:p w:rsidR="00000000" w:rsidRPr="002C599B" w:rsidP="002C599B">
      <w:pPr>
        <w:pStyle w:val="ListBullet"/>
      </w:pPr>
      <w:r w:rsidRPr="002C599B">
        <w:t>signs of bleed chain insensibility</w:t>
      </w:r>
    </w:p>
    <w:p w:rsidR="00000000" w:rsidRPr="002C599B" w:rsidP="002C599B">
      <w:pPr>
        <w:pStyle w:val="ListBullet"/>
      </w:pPr>
      <w:r w:rsidRPr="002C599B">
        <w:t>procedures for the assessment of stunning</w:t>
      </w:r>
    </w:p>
    <w:p w:rsidR="00000000" w:rsidRPr="002C599B" w:rsidP="002C599B">
      <w:pPr>
        <w:pStyle w:val="ListBullet"/>
      </w:pPr>
      <w:r w:rsidRPr="002C599B">
        <w:t>proc</w:t>
      </w:r>
      <w:r w:rsidRPr="002C599B">
        <w:t>edures for the assessment of bleed chain insensibility</w:t>
      </w:r>
    </w:p>
    <w:p w:rsidR="00000000" w:rsidRPr="002C599B" w:rsidP="002C599B">
      <w:pPr>
        <w:pStyle w:val="ListBullet"/>
      </w:pPr>
      <w:r w:rsidRPr="002C599B">
        <w:t>workplace and regulatory requirements for monitoring bleed chain insensibility</w:t>
      </w:r>
    </w:p>
    <w:p w:rsidR="00000000" w:rsidRPr="002C599B" w:rsidP="002C599B">
      <w:pPr>
        <w:pStyle w:val="ListBullet"/>
      </w:pPr>
      <w:r w:rsidRPr="002C599B">
        <w:t>workplace health and safety consequences of not achieving an effective stun</w:t>
      </w:r>
    </w:p>
    <w:p w:rsidR="00000000" w:rsidRPr="002C599B" w:rsidP="002C599B">
      <w:pPr>
        <w:pStyle w:val="ListBullet"/>
      </w:pPr>
      <w:r w:rsidRPr="002C599B">
        <w:t>impact of ineffective restraining and stunning</w:t>
      </w:r>
      <w:r w:rsidRPr="002C599B">
        <w:t xml:space="preserve"> on product quality</w:t>
      </w:r>
    </w:p>
    <w:p w:rsidR="00000000" w:rsidRPr="002C599B" w:rsidP="002C599B">
      <w:pPr>
        <w:pStyle w:val="ListBullet"/>
      </w:pPr>
      <w:r w:rsidRPr="002C599B">
        <w:t>relevant regulatory requirements</w:t>
      </w:r>
    </w:p>
    <w:p w:rsidR="00000000" w:rsidRPr="002C599B" w:rsidP="002C599B">
      <w:pPr>
        <w:pStyle w:val="ListBullet"/>
      </w:pPr>
      <w:r w:rsidRPr="002C599B">
        <w:t>corrective actions for an ineffective stun</w:t>
      </w:r>
    </w:p>
    <w:p w:rsidR="00000000" w:rsidRPr="002C599B" w:rsidP="002C599B">
      <w:pPr>
        <w:pStyle w:val="AllowPageBreak"/>
      </w:pPr>
    </w:p>
    <w:p w:rsidR="00000000" w:rsidRPr="002C599B" w:rsidP="002C599B">
      <w:pPr>
        <w:pStyle w:val="Heading1"/>
      </w:pPr>
      <w:bookmarkStart w:id="4" w:name="O_891534"/>
      <w:bookmarkEnd w:id="4"/>
      <w:r w:rsidRPr="002C599B">
        <w:t>Assessment Conditions</w:t>
      </w:r>
    </w:p>
    <w:p w:rsidR="00000000" w:rsidRPr="002C599B" w:rsidP="00FA0CC0">
      <w:pPr>
        <w:pStyle w:val="BodyText"/>
      </w:pPr>
      <w:r w:rsidRPr="002C599B">
        <w:t>Assessment must be performed in an operating abattoir or knackery, at production speed.</w:t>
      </w:r>
    </w:p>
    <w:p w:rsidR="00000000" w:rsidRPr="002C599B" w:rsidP="00FA0CC0">
      <w:pPr>
        <w:pStyle w:val="BodyText"/>
      </w:pPr>
      <w:r w:rsidRPr="002C599B">
        <w:t>As a minimum the following three</w:t>
      </w:r>
      <w:r w:rsidRPr="002C599B">
        <w:t xml:space="preserve"> forms of assessment must be used:</w:t>
      </w:r>
    </w:p>
    <w:p w:rsidR="00000000" w:rsidRPr="002C599B" w:rsidP="002C599B">
      <w:pPr>
        <w:pStyle w:val="ListBullet"/>
      </w:pPr>
      <w:r w:rsidRPr="002C599B">
        <w:t>quiz of underpinning knowledge</w:t>
      </w:r>
    </w:p>
    <w:p w:rsidR="00000000" w:rsidRPr="002C599B" w:rsidP="002C599B">
      <w:pPr>
        <w:pStyle w:val="ListBullet"/>
      </w:pPr>
      <w:r w:rsidRPr="002C599B">
        <w:t>workplace demonstration</w:t>
      </w:r>
    </w:p>
    <w:p w:rsidR="00000000" w:rsidRPr="002C599B" w:rsidP="002C599B">
      <w:pPr>
        <w:pStyle w:val="ListBullet"/>
      </w:pPr>
      <w:r w:rsidRPr="002C599B">
        <w:t>workplace referee or third-party report of performance over time</w:t>
      </w:r>
    </w:p>
    <w:p w:rsidR="00000000" w:rsidRPr="002C599B" w:rsidP="00FA0CC0">
      <w:pPr>
        <w:pStyle w:val="BodyText"/>
      </w:pPr>
      <w:r w:rsidRPr="002C599B">
        <w:t>Assessors must satisfy the current standards for RTOs.</w:t>
      </w:r>
    </w:p>
    <w:p w:rsidR="00000000" w:rsidRPr="002C599B" w:rsidP="002C599B">
      <w:pPr>
        <w:pStyle w:val="Heading1"/>
      </w:pPr>
      <w:bookmarkStart w:id="5" w:name="O_891537"/>
      <w:bookmarkEnd w:id="5"/>
      <w:r w:rsidRPr="002C599B">
        <w:t>Links</w:t>
      </w:r>
    </w:p>
    <w:p w:rsidR="00000000" w:rsidRPr="002C599B" w:rsidP="00FA0CC0">
      <w:pPr>
        <w:pStyle w:val="BodyText"/>
      </w:pPr>
      <w:r w:rsidRPr="002C5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05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C599B" w:rsidP="002C599B"/>
    <w:sectPr w:rsidSect="002C5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9B" w:rsidRPr="00FA0CC0" w:rsidP="00FA0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0" w:rsidP="002C5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CC0" w:rsidP="002C5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0CC0" w:rsidP="002C5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99B" w:rsidRPr="00FA0CC0" w:rsidP="00FA0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0" w:rsidRPr="002D2AF8" w:rsidP="002C5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AMPA3003 Assess effective stunning and bleeding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A0CC0" w:rsidP="002C5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E40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EE9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99B"/>
  </w:style>
  <w:style w:type="character" w:customStyle="1" w:styleId="Heading1Char">
    <w:name w:val="Heading 1 Char"/>
    <w:basedOn w:val="DefaultParagraphFont"/>
    <w:link w:val="Heading1"/>
    <w:rsid w:val="002C5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9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5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59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5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99B"/>
    <w:rPr>
      <w:b/>
      <w:spacing w:val="0"/>
    </w:rPr>
  </w:style>
  <w:style w:type="paragraph" w:customStyle="1" w:styleId="SuperTitle">
    <w:name w:val="SuperTitle"/>
    <w:basedOn w:val="Title"/>
    <w:rsid w:val="002C5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99B"/>
    <w:rPr>
      <w:i/>
    </w:rPr>
  </w:style>
  <w:style w:type="paragraph" w:styleId="Caption">
    <w:name w:val="caption"/>
    <w:basedOn w:val="BodyText"/>
    <w:next w:val="Normal"/>
    <w:qFormat/>
    <w:rsid w:val="002C5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99B"/>
  </w:style>
  <w:style w:type="paragraph" w:styleId="TableofFigures">
    <w:name w:val="table of figures"/>
    <w:basedOn w:val="Normal"/>
    <w:next w:val="Normal"/>
    <w:semiHidden/>
    <w:rsid w:val="002C5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99B"/>
    <w:rPr>
      <w:rFonts w:ascii="Wingdings" w:hAnsi="Wingdings"/>
    </w:rPr>
  </w:style>
  <w:style w:type="character" w:customStyle="1" w:styleId="HotSpot">
    <w:name w:val="HotSpot"/>
    <w:rsid w:val="002C599B"/>
    <w:rPr>
      <w:color w:val="0033CC"/>
      <w:u w:val="none"/>
    </w:rPr>
  </w:style>
  <w:style w:type="paragraph" w:customStyle="1" w:styleId="BodyTextRight">
    <w:name w:val="Body Text Right"/>
    <w:basedOn w:val="BodyText"/>
    <w:rsid w:val="002C5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99B"/>
    <w:rPr>
      <w:sz w:val="32"/>
    </w:rPr>
  </w:style>
  <w:style w:type="paragraph" w:customStyle="1" w:styleId="HeadingProcedure">
    <w:name w:val="Heading Procedure"/>
    <w:basedOn w:val="HeadingBase"/>
    <w:next w:val="Normal"/>
    <w:rsid w:val="002C5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99B"/>
    <w:pPr>
      <w:spacing w:before="60" w:after="60"/>
    </w:pPr>
  </w:style>
  <w:style w:type="paragraph" w:styleId="ListContinue">
    <w:name w:val="List Continue"/>
    <w:basedOn w:val="List"/>
    <w:rsid w:val="002C599B"/>
    <w:pPr>
      <w:ind w:firstLine="0"/>
    </w:pPr>
  </w:style>
  <w:style w:type="paragraph" w:customStyle="1" w:styleId="ListNote">
    <w:name w:val="List Note"/>
    <w:basedOn w:val="List"/>
    <w:rsid w:val="002C5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99B"/>
    <w:rPr>
      <w:rFonts w:ascii="Courier New" w:hAnsi="Courier New"/>
    </w:rPr>
  </w:style>
  <w:style w:type="paragraph" w:customStyle="1" w:styleId="NoteBullet">
    <w:name w:val="Note Bullet"/>
    <w:basedOn w:val="Note"/>
    <w:rsid w:val="002C5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99B"/>
    <w:rPr>
      <w:b/>
      <w:smallCaps/>
    </w:rPr>
  </w:style>
  <w:style w:type="paragraph" w:customStyle="1" w:styleId="TableListNumber">
    <w:name w:val="Table List Number"/>
    <w:basedOn w:val="ListNumber"/>
    <w:rsid w:val="002C5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99B"/>
    <w:pPr>
      <w:numPr>
        <w:numId w:val="8"/>
      </w:numPr>
    </w:pPr>
  </w:style>
  <w:style w:type="paragraph" w:customStyle="1" w:styleId="ListAlpha2">
    <w:name w:val="List Alpha 2"/>
    <w:basedOn w:val="List2"/>
    <w:rsid w:val="002C599B"/>
    <w:pPr>
      <w:numPr>
        <w:numId w:val="7"/>
      </w:numPr>
    </w:pPr>
  </w:style>
  <w:style w:type="paragraph" w:styleId="List2">
    <w:name w:val="List 2"/>
    <w:basedOn w:val="BodyText"/>
    <w:rsid w:val="002C5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99B"/>
    <w:pPr>
      <w:numPr>
        <w:numId w:val="3"/>
      </w:numPr>
    </w:pPr>
  </w:style>
  <w:style w:type="paragraph" w:styleId="ListContinue2">
    <w:name w:val="List Continue 2"/>
    <w:basedOn w:val="List2"/>
    <w:rsid w:val="002C599B"/>
    <w:pPr>
      <w:ind w:firstLine="0"/>
    </w:pPr>
  </w:style>
  <w:style w:type="paragraph" w:styleId="ListContinue3">
    <w:name w:val="List Continue 3"/>
    <w:basedOn w:val="List3"/>
    <w:rsid w:val="002C599B"/>
    <w:pPr>
      <w:ind w:left="1021" w:firstLine="0"/>
    </w:pPr>
  </w:style>
  <w:style w:type="paragraph" w:styleId="ListContinue4">
    <w:name w:val="List Continue 4"/>
    <w:basedOn w:val="List4"/>
    <w:rsid w:val="002C599B"/>
    <w:pPr>
      <w:ind w:firstLine="0"/>
    </w:pPr>
  </w:style>
  <w:style w:type="paragraph" w:styleId="ListContinue5">
    <w:name w:val="List Continue 5"/>
    <w:basedOn w:val="List5"/>
    <w:rsid w:val="002C599B"/>
    <w:pPr>
      <w:ind w:firstLine="0"/>
    </w:pPr>
  </w:style>
  <w:style w:type="paragraph" w:styleId="ListNumber3">
    <w:name w:val="List Number 3"/>
    <w:basedOn w:val="List3"/>
    <w:rsid w:val="002C599B"/>
    <w:pPr>
      <w:numPr>
        <w:numId w:val="4"/>
      </w:numPr>
    </w:pPr>
  </w:style>
  <w:style w:type="paragraph" w:styleId="ListNumber4">
    <w:name w:val="List Number 4"/>
    <w:basedOn w:val="List4"/>
    <w:rsid w:val="002C599B"/>
    <w:pPr>
      <w:numPr>
        <w:numId w:val="5"/>
      </w:numPr>
    </w:pPr>
  </w:style>
  <w:style w:type="paragraph" w:styleId="ListNumber5">
    <w:name w:val="List Number 5"/>
    <w:basedOn w:val="List5"/>
    <w:rsid w:val="002C599B"/>
    <w:pPr>
      <w:numPr>
        <w:numId w:val="6"/>
      </w:numPr>
    </w:pPr>
  </w:style>
  <w:style w:type="paragraph" w:styleId="BlockText">
    <w:name w:val="Block Text"/>
    <w:basedOn w:val="Normal"/>
    <w:rsid w:val="002C5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99B"/>
    <w:rPr>
      <w:sz w:val="16"/>
      <w:vertAlign w:val="superscript"/>
    </w:rPr>
  </w:style>
  <w:style w:type="character" w:customStyle="1" w:styleId="Symbols">
    <w:name w:val="Symbols"/>
    <w:basedOn w:val="DefaultParagraphFont"/>
    <w:rsid w:val="002C599B"/>
    <w:rPr>
      <w:rFonts w:ascii="Symbol" w:hAnsi="Symbol"/>
    </w:rPr>
  </w:style>
  <w:style w:type="character" w:customStyle="1" w:styleId="MenuOptions">
    <w:name w:val="Menu Options"/>
    <w:basedOn w:val="DefaultParagraphFont"/>
    <w:rsid w:val="002C5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99B"/>
    <w:rPr>
      <w:b/>
    </w:rPr>
  </w:style>
  <w:style w:type="character" w:customStyle="1" w:styleId="Underlined">
    <w:name w:val="Underlined"/>
    <w:basedOn w:val="DefaultParagraphFont"/>
    <w:rsid w:val="002C599B"/>
    <w:rPr>
      <w:u w:val="single"/>
    </w:rPr>
  </w:style>
  <w:style w:type="paragraph" w:customStyle="1" w:styleId="TableBodyTextRight">
    <w:name w:val="Table Body Text Right"/>
    <w:basedOn w:val="TableBodyText"/>
    <w:rsid w:val="002C5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99B"/>
    <w:rPr>
      <w:sz w:val="18"/>
    </w:rPr>
  </w:style>
  <w:style w:type="paragraph" w:customStyle="1" w:styleId="BodySmallRight">
    <w:name w:val="Body Small Right"/>
    <w:basedOn w:val="BodyTextRight"/>
    <w:rsid w:val="002C599B"/>
    <w:rPr>
      <w:sz w:val="18"/>
      <w:szCs w:val="18"/>
    </w:rPr>
  </w:style>
  <w:style w:type="paragraph" w:customStyle="1" w:styleId="MarginEdition">
    <w:name w:val="Margin Edition"/>
    <w:basedOn w:val="MarginNote"/>
    <w:rsid w:val="002C5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99B"/>
    <w:rPr>
      <w:sz w:val="2"/>
      <w:szCs w:val="2"/>
    </w:rPr>
  </w:style>
  <w:style w:type="character" w:customStyle="1" w:styleId="Small">
    <w:name w:val="Small"/>
    <w:basedOn w:val="DefaultParagraphFont"/>
    <w:rsid w:val="002C599B"/>
    <w:rPr>
      <w:sz w:val="16"/>
    </w:rPr>
  </w:style>
  <w:style w:type="paragraph" w:customStyle="1" w:styleId="WideTable">
    <w:name w:val="Wide Table"/>
    <w:basedOn w:val="Normal"/>
    <w:rsid w:val="002C5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99B"/>
  </w:style>
  <w:style w:type="paragraph" w:styleId="Quote">
    <w:name w:val="Quote"/>
    <w:basedOn w:val="Heading1"/>
    <w:link w:val="QuoteChar"/>
    <w:qFormat/>
    <w:rsid w:val="002C5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99B"/>
    <w:pPr>
      <w:pageBreakBefore/>
    </w:pPr>
  </w:style>
  <w:style w:type="paragraph" w:customStyle="1" w:styleId="Border">
    <w:name w:val="Border"/>
    <w:basedOn w:val="Normal"/>
    <w:qFormat/>
    <w:rsid w:val="002C5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99B"/>
    <w:rPr>
      <w:u w:val="single"/>
    </w:rPr>
  </w:style>
  <w:style w:type="character" w:customStyle="1" w:styleId="BoldandItalics">
    <w:name w:val="Bold and Italics"/>
    <w:qFormat/>
    <w:rsid w:val="002C599B"/>
    <w:rPr>
      <w:b/>
      <w:i/>
      <w:u w:val="none"/>
    </w:rPr>
  </w:style>
  <w:style w:type="paragraph" w:styleId="BalloonText">
    <w:name w:val="Balloon Text"/>
    <w:basedOn w:val="Normal"/>
    <w:link w:val="BalloonTextChar"/>
    <w:rsid w:val="002C5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99B"/>
    <w:pPr>
      <w:spacing w:before="0" w:after="0"/>
    </w:pPr>
  </w:style>
  <w:style w:type="paragraph" w:customStyle="1" w:styleId="BodyTextBold">
    <w:name w:val="Body Text Bold"/>
    <w:basedOn w:val="BodyText"/>
    <w:qFormat/>
    <w:rsid w:val="002C599B"/>
    <w:rPr>
      <w:b/>
    </w:rPr>
  </w:style>
  <w:style w:type="character" w:styleId="Hyperlink">
    <w:name w:val="Hyperlink"/>
    <w:basedOn w:val="DefaultParagraphFont"/>
    <w:uiPriority w:val="99"/>
    <w:unhideWhenUsed/>
    <w:rsid w:val="00FA0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2395</Characters>
  <Application>Microsoft Office Word</Application>
  <DocSecurity>0</DocSecurity>
  <Lines>68</Lines>
  <Paragraphs>60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AMPA3003 Assess effective stunning and bleeding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2023-01-24T23:27:00Z</dcterms:created>
  <dcterms:modified xsi:type="dcterms:W3CDTF">2023-01-24T23:27:00Z</dcterms:modified>
</cp:coreProperties>
</file>