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665" w:rsidP="00C82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AMPA2163 Break down and bone carcase for pet meat or rendering</w:t>
      </w:r>
      <w:r>
        <w:fldChar w:fldCharType="end"/>
      </w:r>
    </w:p>
    <w:p w:rsidR="00C82665" w:rsidP="00C82665">
      <w:pPr>
        <w:pStyle w:val="Version"/>
        <w:sectPr w:rsidSect="00794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A7B" w:rsidP="00794A7B">
      <w:pPr>
        <w:pStyle w:val="SuperHeading"/>
      </w:pPr>
      <w:r w:rsidRPr="00794A7B">
        <w:t>AMPA2163 Break down and bone carcase for pet meat or rendering</w:t>
      </w:r>
    </w:p>
    <w:p w:rsidR="00000000" w:rsidRPr="00794A7B" w:rsidP="00794A7B">
      <w:pPr>
        <w:pStyle w:val="Heading1"/>
      </w:pPr>
      <w:bookmarkStart w:id="1" w:name="O_901262"/>
      <w:bookmarkEnd w:id="1"/>
      <w:r w:rsidRPr="00794A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79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TableHeading"/>
              <w:rPr>
                <w:lang w:val="en-NZ"/>
              </w:rPr>
            </w:pPr>
            <w:r w:rsidRPr="00794A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TableHeading"/>
              <w:rPr>
                <w:lang w:val="en-NZ"/>
              </w:rPr>
            </w:pPr>
            <w:r w:rsidRPr="00794A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TableHeading"/>
              <w:rPr>
                <w:lang w:val="en-NZ"/>
              </w:rPr>
            </w:pPr>
            <w:r w:rsidRPr="00794A7B">
              <w:t>Comment</w:t>
            </w:r>
          </w:p>
        </w:tc>
      </w:tr>
      <w:tr w:rsidTr="0079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BodyText"/>
              <w:rPr>
                <w:lang w:val="en-NZ"/>
              </w:rPr>
            </w:pPr>
            <w:r w:rsidRPr="00794A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BodyText"/>
              <w:rPr>
                <w:lang w:val="en-NZ"/>
              </w:rPr>
            </w:pPr>
            <w:r w:rsidRPr="00794A7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7B" w:rsidP="00794A7B">
            <w:pPr>
              <w:pStyle w:val="BodyText"/>
            </w:pPr>
            <w:r w:rsidRPr="00794A7B">
              <w:t>Initial release</w:t>
            </w:r>
          </w:p>
        </w:tc>
      </w:tr>
    </w:tbl>
    <w:p w:rsidR="00000000" w:rsidRPr="00794A7B" w:rsidP="00794A7B">
      <w:pPr>
        <w:pStyle w:val="BodyText"/>
      </w:pPr>
    </w:p>
    <w:p w:rsidR="00000000" w:rsidRPr="00794A7B" w:rsidP="00794A7B">
      <w:pPr>
        <w:pStyle w:val="AllowPageBreak"/>
      </w:pPr>
    </w:p>
    <w:p w:rsidR="00000000" w:rsidRPr="00794A7B" w:rsidP="00794A7B">
      <w:pPr>
        <w:pStyle w:val="Heading1"/>
      </w:pPr>
      <w:bookmarkStart w:id="2" w:name="O_901264"/>
      <w:bookmarkEnd w:id="2"/>
      <w:r w:rsidRPr="00794A7B">
        <w:t>Application</w:t>
      </w:r>
    </w:p>
    <w:p w:rsidR="00000000" w:rsidRPr="00794A7B" w:rsidP="00C82665">
      <w:pPr>
        <w:pStyle w:val="BodyText"/>
      </w:pPr>
      <w:r w:rsidRPr="00794A7B">
        <w:t>This unit describes the skills and knowledge required to break down and bone a carcase for further processing of the meat for pet meat or rendering.</w:t>
      </w:r>
    </w:p>
    <w:p w:rsidR="00000000" w:rsidRPr="00794A7B" w:rsidP="00C82665">
      <w:pPr>
        <w:pStyle w:val="BodyText"/>
      </w:pPr>
      <w:r w:rsidRPr="00794A7B">
        <w:t xml:space="preserve">This unit is applicable to workers employed at abattoirs, knackeries, game meat processing establishments </w:t>
      </w:r>
      <w:r w:rsidRPr="00794A7B">
        <w:t>and rendering plants.</w:t>
      </w:r>
    </w:p>
    <w:p w:rsidR="00000000" w:rsidRPr="00794A7B" w:rsidP="00C82665">
      <w:pPr>
        <w:pStyle w:val="BodyText"/>
      </w:pPr>
      <w:r w:rsidRPr="00794A7B">
        <w:t xml:space="preserve">All work should be carried out to comply with workplace and hygiene requirements. </w:t>
      </w:r>
    </w:p>
    <w:p w:rsidR="00000000" w:rsidRPr="00794A7B" w:rsidP="00C82665">
      <w:pPr>
        <w:pStyle w:val="BodyText"/>
      </w:pPr>
      <w:r w:rsidRPr="00794A7B">
        <w:t>This unit applies to individuals who work under general supervision, exercise limited autonomy and have some accountability for their own work.</w:t>
      </w:r>
    </w:p>
    <w:p w:rsidR="00000000" w:rsidRPr="00794A7B" w:rsidP="00C82665">
      <w:pPr>
        <w:pStyle w:val="BodyText"/>
      </w:pPr>
      <w:r w:rsidRPr="00794A7B">
        <w:t>No o</w:t>
      </w:r>
      <w:r w:rsidRPr="00794A7B">
        <w:t>ccupational licensing, legislative or certification requirements are known to apply to this unit at the time of publication.</w:t>
      </w:r>
    </w:p>
    <w:p w:rsidR="00000000" w:rsidRPr="00794A7B" w:rsidP="00C82665">
      <w:pPr>
        <w:pStyle w:val="BodyText"/>
      </w:pPr>
      <w:r w:rsidRPr="00794A7B">
        <w:t>This unit must be delivered and assessed in the context of Australian meat processing standards and regulations.</w:t>
      </w:r>
    </w:p>
    <w:p w:rsidR="00000000" w:rsidRPr="00794A7B" w:rsidP="00794A7B">
      <w:pPr>
        <w:pStyle w:val="Heading1"/>
      </w:pPr>
      <w:bookmarkStart w:id="3" w:name="O_901265"/>
      <w:bookmarkEnd w:id="3"/>
      <w:r w:rsidRPr="00794A7B">
        <w:t>Pre-requisite Unit</w:t>
      </w:r>
    </w:p>
    <w:p w:rsidR="00000000" w:rsidRPr="00794A7B" w:rsidP="00794A7B">
      <w:pPr>
        <w:pStyle w:val="List"/>
      </w:pPr>
      <w:r w:rsidRPr="00794A7B">
        <w:t xml:space="preserve">AMPX209 Sharpen knives </w:t>
      </w:r>
    </w:p>
    <w:p w:rsidR="00000000" w:rsidRPr="00794A7B" w:rsidP="00794A7B">
      <w:pPr>
        <w:pStyle w:val="Heading1"/>
      </w:pPr>
      <w:bookmarkStart w:id="4" w:name="O_901268"/>
      <w:bookmarkEnd w:id="4"/>
      <w:r w:rsidRPr="00794A7B">
        <w:t>Unit Sector</w:t>
      </w:r>
    </w:p>
    <w:p w:rsidR="00000000" w:rsidRPr="00794A7B" w:rsidP="00794A7B">
      <w:pPr>
        <w:pStyle w:val="Heading1"/>
      </w:pPr>
      <w:bookmarkStart w:id="5" w:name="O_901269"/>
      <w:bookmarkEnd w:id="5"/>
      <w:r w:rsidRPr="00794A7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8266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TableHeading"/>
              <w:rPr>
                <w:lang w:val="en-NZ"/>
              </w:rPr>
            </w:pPr>
            <w:r w:rsidRPr="00794A7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TableHeading"/>
              <w:rPr>
                <w:lang w:val="en-NZ"/>
              </w:rPr>
            </w:pPr>
            <w:r w:rsidRPr="00794A7B">
              <w:t>Performance criteria</w:t>
            </w:r>
          </w:p>
        </w:tc>
      </w:tr>
      <w:tr w:rsidTr="00C8266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BodyText"/>
              <w:rPr>
                <w:lang w:val="en-NZ"/>
              </w:rPr>
            </w:pPr>
            <w:r w:rsidRPr="00794A7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BodyText"/>
              <w:rPr>
                <w:lang w:val="en-NZ"/>
              </w:rPr>
            </w:pPr>
            <w:r w:rsidRPr="00794A7B">
              <w:t>Performance criteria describe the performance needed to demo</w:t>
            </w:r>
            <w:r w:rsidRPr="00794A7B">
              <w:t>nstrate achievement of the element.</w:t>
            </w:r>
          </w:p>
        </w:tc>
      </w:tr>
      <w:tr w:rsidTr="00C8266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List"/>
              <w:rPr>
                <w:lang w:val="en-NZ"/>
              </w:rPr>
            </w:pPr>
            <w:r w:rsidRPr="00794A7B">
              <w:t>1.</w:t>
            </w:r>
            <w:r w:rsidRPr="00794A7B">
              <w:tab/>
              <w:t>Break down condemned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7B" w:rsidP="00794A7B">
            <w:pPr>
              <w:pStyle w:val="List"/>
            </w:pPr>
            <w:r w:rsidRPr="00794A7B">
              <w:t>1.1</w:t>
            </w:r>
            <w:r w:rsidRPr="00794A7B">
              <w:tab/>
              <w:t>Break down carcase down in accordance with workplace and regulatory requirements</w:t>
            </w:r>
          </w:p>
          <w:p w:rsidR="00000000" w:rsidP="00794A7B">
            <w:pPr>
              <w:pStyle w:val="List"/>
              <w:rPr>
                <w:lang w:val="en-NZ"/>
              </w:rPr>
            </w:pPr>
            <w:r w:rsidRPr="00794A7B">
              <w:t>1.2</w:t>
            </w:r>
            <w:r w:rsidRPr="00794A7B">
              <w:tab/>
              <w:t xml:space="preserve">Identify and meet workplace health and safety requirements </w:t>
            </w:r>
          </w:p>
        </w:tc>
      </w:tr>
      <w:tr w:rsidTr="00C8266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List"/>
              <w:rPr>
                <w:lang w:val="en-NZ"/>
              </w:rPr>
            </w:pPr>
            <w:r w:rsidRPr="00794A7B">
              <w:t>2.</w:t>
            </w:r>
            <w:r w:rsidRPr="00794A7B">
              <w:tab/>
              <w:t>Bone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7B" w:rsidP="00794A7B">
            <w:pPr>
              <w:pStyle w:val="List"/>
            </w:pPr>
            <w:r w:rsidRPr="00794A7B">
              <w:t>2.1</w:t>
            </w:r>
            <w:r w:rsidRPr="00794A7B">
              <w:tab/>
            </w:r>
            <w:r w:rsidRPr="00794A7B">
              <w:t>Bone meat to maximise yield</w:t>
            </w:r>
          </w:p>
          <w:p w:rsidR="00000000" w:rsidRPr="00794A7B" w:rsidP="00794A7B">
            <w:pPr>
              <w:pStyle w:val="List"/>
            </w:pPr>
            <w:r w:rsidRPr="00794A7B">
              <w:t>2.2</w:t>
            </w:r>
            <w:r w:rsidRPr="00794A7B">
              <w:tab/>
              <w:t>Bone meat in accordance with work instructions and regulatory requirements</w:t>
            </w:r>
          </w:p>
          <w:p w:rsidR="00000000" w:rsidRPr="00794A7B" w:rsidP="00794A7B">
            <w:pPr>
              <w:pStyle w:val="List"/>
            </w:pPr>
            <w:r w:rsidRPr="00794A7B">
              <w:t>2.3</w:t>
            </w:r>
            <w:r w:rsidRPr="00794A7B">
              <w:tab/>
              <w:t xml:space="preserve">Identify and comply with workplace health and safety requirements </w:t>
            </w:r>
          </w:p>
          <w:p w:rsidR="00000000" w:rsidRPr="00794A7B" w:rsidP="00794A7B">
            <w:pPr>
              <w:pStyle w:val="List"/>
            </w:pPr>
            <w:r w:rsidRPr="00794A7B">
              <w:t>2.4</w:t>
            </w:r>
            <w:r w:rsidRPr="00794A7B">
              <w:tab/>
              <w:t>Dispose of meat cuts, trimmings and bones in accordance with workplace req</w:t>
            </w:r>
            <w:r w:rsidRPr="00794A7B">
              <w:t>uirements</w:t>
            </w:r>
          </w:p>
        </w:tc>
      </w:tr>
    </w:tbl>
    <w:p w:rsidR="00000000" w:rsidRPr="00794A7B" w:rsidP="00794A7B">
      <w:pPr>
        <w:pStyle w:val="BodyText"/>
      </w:pPr>
    </w:p>
    <w:p w:rsidR="00000000" w:rsidRPr="00794A7B" w:rsidP="00794A7B">
      <w:pPr>
        <w:pStyle w:val="AllowPageBreak"/>
      </w:pPr>
    </w:p>
    <w:p w:rsidR="00000000" w:rsidRPr="00794A7B" w:rsidP="00794A7B">
      <w:pPr>
        <w:pStyle w:val="Heading1"/>
      </w:pPr>
      <w:bookmarkStart w:id="6" w:name="O_901270"/>
      <w:bookmarkEnd w:id="6"/>
      <w:r w:rsidRPr="00794A7B">
        <w:t>Foundation Skills</w:t>
      </w:r>
    </w:p>
    <w:p w:rsidR="00000000" w:rsidRPr="00794A7B" w:rsidP="00C82665">
      <w:pPr>
        <w:pStyle w:val="BodyText"/>
      </w:pPr>
      <w:r w:rsidRPr="00794A7B">
        <w:t>Foundation Skills essential to performance are explicit in the performance criteria of this unit of competency.</w:t>
      </w:r>
    </w:p>
    <w:p w:rsidR="00000000" w:rsidRPr="00794A7B" w:rsidP="00794A7B">
      <w:pPr>
        <w:pStyle w:val="Heading1"/>
      </w:pPr>
      <w:bookmarkStart w:id="7" w:name="O_901271"/>
      <w:bookmarkEnd w:id="7"/>
      <w:r w:rsidRPr="00794A7B">
        <w:t>Range of Conditions</w:t>
      </w:r>
    </w:p>
    <w:p w:rsidR="00000000" w:rsidRPr="00794A7B" w:rsidP="00794A7B">
      <w:pPr>
        <w:pStyle w:val="Heading1"/>
      </w:pPr>
      <w:bookmarkStart w:id="8" w:name="O_901272"/>
      <w:bookmarkEnd w:id="8"/>
      <w:r w:rsidRPr="00794A7B">
        <w:t>Unit Mapping Information</w:t>
      </w:r>
    </w:p>
    <w:p w:rsidR="00000000" w:rsidRPr="00794A7B" w:rsidP="00C82665">
      <w:pPr>
        <w:pStyle w:val="BodyText"/>
      </w:pPr>
      <w:r w:rsidRPr="00794A7B">
        <w:t>This unit is equiva</w:t>
      </w:r>
      <w:r w:rsidRPr="00794A7B">
        <w:t>lent to MTMP2187C Break down and bone carcase for pet meat or rendering.</w:t>
      </w:r>
    </w:p>
    <w:p w:rsidR="00000000" w:rsidRPr="00794A7B" w:rsidP="00794A7B">
      <w:pPr>
        <w:pStyle w:val="Heading1"/>
      </w:pPr>
      <w:bookmarkStart w:id="9" w:name="O_901281"/>
      <w:bookmarkEnd w:id="9"/>
      <w:r w:rsidRPr="00794A7B">
        <w:t>Links</w:t>
      </w:r>
    </w:p>
    <w:p w:rsidR="00000000" w:rsidRPr="00794A7B" w:rsidP="00C82665">
      <w:pPr>
        <w:pStyle w:val="BodyText"/>
      </w:pPr>
      <w:r w:rsidRPr="00794A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E1C8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94A7B" w:rsidP="00C82665">
      <w:pPr>
        <w:pStyle w:val="BodyText"/>
        <w:sectPr w:rsidSect="00794A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4A7B" w:rsidP="00794A7B">
      <w:pPr>
        <w:pStyle w:val="SuperHeading"/>
      </w:pPr>
      <w:r w:rsidRPr="00794A7B">
        <w:t>Assessment Requirements for AMPA2163 Break down and bone carcase for pet meat or rendering</w:t>
      </w:r>
    </w:p>
    <w:p w:rsidR="00000000" w:rsidRPr="00794A7B" w:rsidP="00794A7B">
      <w:pPr>
        <w:pStyle w:val="Heading1"/>
      </w:pPr>
      <w:bookmarkStart w:id="10" w:name="O_901274"/>
      <w:bookmarkEnd w:id="10"/>
      <w:r w:rsidRPr="00794A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79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TableHeading"/>
              <w:rPr>
                <w:lang w:val="en-NZ"/>
              </w:rPr>
            </w:pPr>
            <w:r w:rsidRPr="00794A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TableHeading"/>
              <w:rPr>
                <w:lang w:val="en-NZ"/>
              </w:rPr>
            </w:pPr>
            <w:r w:rsidRPr="00794A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TableHeading"/>
              <w:rPr>
                <w:lang w:val="en-NZ"/>
              </w:rPr>
            </w:pPr>
            <w:r w:rsidRPr="00794A7B">
              <w:t>Comment</w:t>
            </w:r>
          </w:p>
        </w:tc>
      </w:tr>
      <w:tr w:rsidTr="00794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BodyText"/>
              <w:rPr>
                <w:lang w:val="en-NZ"/>
              </w:rPr>
            </w:pPr>
            <w:r w:rsidRPr="00794A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7B">
            <w:pPr>
              <w:pStyle w:val="BodyText"/>
              <w:rPr>
                <w:lang w:val="en-NZ"/>
              </w:rPr>
            </w:pPr>
            <w:r w:rsidRPr="00794A7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7B" w:rsidP="00794A7B">
            <w:pPr>
              <w:pStyle w:val="BodyText"/>
            </w:pPr>
            <w:r w:rsidRPr="00794A7B">
              <w:t>Initial release</w:t>
            </w:r>
          </w:p>
        </w:tc>
      </w:tr>
    </w:tbl>
    <w:p w:rsidR="00000000" w:rsidRPr="00794A7B" w:rsidP="00794A7B">
      <w:pPr>
        <w:pStyle w:val="BodyText"/>
      </w:pPr>
    </w:p>
    <w:p w:rsidR="00000000" w:rsidRPr="00794A7B" w:rsidP="00794A7B">
      <w:pPr>
        <w:pStyle w:val="AllowPageBreak"/>
      </w:pPr>
    </w:p>
    <w:p w:rsidR="00000000" w:rsidRPr="00794A7B" w:rsidP="00794A7B">
      <w:pPr>
        <w:pStyle w:val="Heading1"/>
      </w:pPr>
      <w:bookmarkStart w:id="11" w:name="O_901276"/>
      <w:bookmarkEnd w:id="11"/>
      <w:r w:rsidRPr="00794A7B">
        <w:t>Performance Evidence</w:t>
      </w:r>
    </w:p>
    <w:p w:rsidR="00000000" w:rsidRPr="00794A7B" w:rsidP="00C82665">
      <w:pPr>
        <w:pStyle w:val="BodyText"/>
      </w:pPr>
      <w:r w:rsidRPr="00794A7B">
        <w:t>The candidate must break down and bone a carcase for further processing of the meat for pet meat or rendering.</w:t>
      </w:r>
    </w:p>
    <w:p w:rsidR="00000000" w:rsidRPr="00794A7B" w:rsidP="00C82665">
      <w:pPr>
        <w:pStyle w:val="BodyText"/>
      </w:pPr>
      <w:r w:rsidRPr="00794A7B">
        <w:t xml:space="preserve">The candidate must: </w:t>
      </w:r>
    </w:p>
    <w:p w:rsidR="00000000" w:rsidRPr="00794A7B" w:rsidP="00794A7B">
      <w:pPr>
        <w:pStyle w:val="ListBullet"/>
      </w:pPr>
      <w:r w:rsidRPr="00794A7B">
        <w:t>break down and bone carcase in accordance with work instructions</w:t>
      </w:r>
    </w:p>
    <w:p w:rsidR="00000000" w:rsidRPr="00794A7B" w:rsidP="00794A7B">
      <w:pPr>
        <w:pStyle w:val="ListBullet"/>
      </w:pPr>
      <w:r w:rsidRPr="00794A7B">
        <w:t>trim according to workplace specific</w:t>
      </w:r>
      <w:r w:rsidRPr="00794A7B">
        <w:t>ations</w:t>
      </w:r>
    </w:p>
    <w:p w:rsidR="00000000" w:rsidRPr="00794A7B" w:rsidP="00794A7B">
      <w:pPr>
        <w:pStyle w:val="ListBullet"/>
      </w:pPr>
      <w:r w:rsidRPr="00794A7B">
        <w:t>comply with workplace health and safety, and regulatory requirements</w:t>
      </w:r>
    </w:p>
    <w:p w:rsidR="00000000" w:rsidRPr="00794A7B" w:rsidP="00794A7B">
      <w:pPr>
        <w:pStyle w:val="AllowPageBreak"/>
      </w:pPr>
    </w:p>
    <w:p w:rsidR="00000000" w:rsidRPr="00794A7B" w:rsidP="00794A7B">
      <w:pPr>
        <w:pStyle w:val="Heading1"/>
      </w:pPr>
      <w:bookmarkStart w:id="12" w:name="O_901277"/>
      <w:bookmarkEnd w:id="12"/>
      <w:r w:rsidRPr="00794A7B">
        <w:t>Knowledge Evidence</w:t>
      </w:r>
    </w:p>
    <w:p w:rsidR="00000000" w:rsidRPr="00794A7B" w:rsidP="00C82665">
      <w:pPr>
        <w:pStyle w:val="BodyText"/>
      </w:pPr>
      <w:r w:rsidRPr="00794A7B">
        <w:t xml:space="preserve">The candidate must demonstrate a basic factual, technical and procedural knowledge of: </w:t>
      </w:r>
    </w:p>
    <w:p w:rsidR="00000000" w:rsidRPr="00794A7B" w:rsidP="00794A7B">
      <w:pPr>
        <w:pStyle w:val="ListBullet"/>
      </w:pPr>
      <w:r w:rsidRPr="00794A7B">
        <w:t>regulatory requirements</w:t>
      </w:r>
    </w:p>
    <w:p w:rsidR="00000000" w:rsidRPr="00794A7B" w:rsidP="00794A7B">
      <w:pPr>
        <w:pStyle w:val="ListBullet"/>
      </w:pPr>
      <w:r w:rsidRPr="00794A7B">
        <w:t>requirements for further processing</w:t>
      </w:r>
    </w:p>
    <w:p w:rsidR="00000000" w:rsidRPr="00794A7B" w:rsidP="00794A7B">
      <w:pPr>
        <w:pStyle w:val="ListBullet"/>
      </w:pPr>
      <w:r w:rsidRPr="00794A7B">
        <w:t>workplace health and safety hazards and requirements</w:t>
      </w:r>
    </w:p>
    <w:p w:rsidR="00000000" w:rsidRPr="00794A7B" w:rsidP="00794A7B">
      <w:pPr>
        <w:pStyle w:val="AllowPageBreak"/>
      </w:pPr>
    </w:p>
    <w:p w:rsidR="00000000" w:rsidRPr="00794A7B" w:rsidP="00794A7B">
      <w:pPr>
        <w:pStyle w:val="Heading1"/>
      </w:pPr>
      <w:bookmarkStart w:id="13" w:name="O_901278"/>
      <w:bookmarkEnd w:id="13"/>
      <w:r w:rsidRPr="00794A7B">
        <w:t>Assessment Conditions</w:t>
      </w:r>
    </w:p>
    <w:p w:rsidR="00000000" w:rsidRPr="00794A7B" w:rsidP="00C82665">
      <w:pPr>
        <w:pStyle w:val="BodyText"/>
      </w:pPr>
      <w:r w:rsidRPr="00794A7B">
        <w:t>Competency must be demonstrated at normal chain speed.</w:t>
      </w:r>
    </w:p>
    <w:p w:rsidR="00000000" w:rsidRPr="00794A7B" w:rsidP="00C82665">
      <w:pPr>
        <w:pStyle w:val="BodyText"/>
      </w:pPr>
      <w:r w:rsidRPr="00794A7B">
        <w:t>Assessment must occur in the workplace under normal production condition</w:t>
      </w:r>
      <w:r w:rsidRPr="00794A7B">
        <w:t>s.</w:t>
      </w:r>
    </w:p>
    <w:p w:rsidR="00000000" w:rsidRPr="00794A7B" w:rsidP="00C82665">
      <w:pPr>
        <w:pStyle w:val="BodyText"/>
      </w:pPr>
      <w:r w:rsidRPr="00794A7B">
        <w:t>As a minimum, the following three forms of assessment must be used:</w:t>
      </w:r>
    </w:p>
    <w:p w:rsidR="00000000" w:rsidRPr="00794A7B" w:rsidP="00794A7B">
      <w:pPr>
        <w:pStyle w:val="ListBullet"/>
      </w:pPr>
      <w:r w:rsidRPr="00794A7B">
        <w:t>quiz of underpinning knowledge</w:t>
      </w:r>
    </w:p>
    <w:p w:rsidR="00000000" w:rsidRPr="00794A7B" w:rsidP="00794A7B">
      <w:pPr>
        <w:pStyle w:val="ListBullet"/>
      </w:pPr>
      <w:r w:rsidRPr="00794A7B">
        <w:t xml:space="preserve">workplace demonstration </w:t>
      </w:r>
    </w:p>
    <w:p w:rsidR="00000000" w:rsidRPr="00794A7B" w:rsidP="00794A7B">
      <w:pPr>
        <w:pStyle w:val="ListBullet"/>
      </w:pPr>
      <w:r w:rsidRPr="00794A7B">
        <w:t>workplace referee or third-party report of performance over time</w:t>
      </w:r>
    </w:p>
    <w:p w:rsidR="00000000" w:rsidRPr="00794A7B" w:rsidP="00794A7B">
      <w:pPr>
        <w:pStyle w:val="BodyText"/>
      </w:pPr>
    </w:p>
    <w:p w:rsidR="00000000" w:rsidRPr="00794A7B" w:rsidP="00C82665">
      <w:pPr>
        <w:pStyle w:val="BodyText"/>
      </w:pPr>
      <w:r w:rsidRPr="00794A7B">
        <w:t>Assessors must satisfy the current standards for RTOs.</w:t>
      </w:r>
    </w:p>
    <w:p w:rsidR="00000000" w:rsidRPr="00794A7B" w:rsidP="00794A7B">
      <w:pPr>
        <w:pStyle w:val="Heading1"/>
      </w:pPr>
      <w:bookmarkStart w:id="14" w:name="O_901282"/>
      <w:bookmarkEnd w:id="14"/>
      <w:r w:rsidRPr="00794A7B">
        <w:t>Links</w:t>
      </w:r>
    </w:p>
    <w:p w:rsidR="00000000" w:rsidRPr="00794A7B" w:rsidP="00C82665">
      <w:pPr>
        <w:pStyle w:val="BodyText"/>
      </w:pPr>
      <w:r w:rsidRPr="00794A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E1C8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94A7B" w:rsidP="00794A7B"/>
    <w:sectPr w:rsidSect="00794A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7B" w:rsidRPr="00C82665" w:rsidP="00C82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65" w:rsidP="00794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665" w:rsidP="00794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2665" w:rsidP="00794A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7B" w:rsidP="00794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2665">
      <w:t>Approved</w:t>
    </w:r>
    <w:r w:rsidR="00C826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26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2665">
      <w:rPr>
        <w:noProof/>
      </w:rPr>
      <w:t>4</w:t>
    </w:r>
    <w:r>
      <w:rPr>
        <w:noProof/>
      </w:rPr>
      <w:fldChar w:fldCharType="end"/>
    </w:r>
  </w:p>
  <w:p w:rsidR="00794A7B" w:rsidP="00794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26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2665">
      <w:t>Skills Insight</w:t>
    </w:r>
    <w:r w:rsidR="00C82665">
      <w:fldChar w:fldCharType="end"/>
    </w:r>
  </w:p>
  <w:p w:rsidR="00794A7B" w:rsidP="00794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A7B" w:rsidRPr="00C82665" w:rsidP="00C82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665" w:rsidRPr="002D2AF8" w:rsidP="00794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AMPA2163 Break down and bone carcase for pet meat or rendering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2665" w:rsidP="00794A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7B" w:rsidRPr="002D2AF8" w:rsidP="00794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2665">
      <w:t>AMPA2163 Break down and bone carcase for pet meat or rendering</w:t>
    </w:r>
    <w:r w:rsidR="00C826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2665">
      <w:rPr>
        <w:noProof/>
      </w:rPr>
      <w:t>2 March 2025</w:t>
    </w:r>
    <w:r>
      <w:fldChar w:fldCharType="end"/>
    </w:r>
  </w:p>
  <w:p w:rsidR="00794A7B" w:rsidP="00794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D0C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9ACF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A7B"/>
  </w:style>
  <w:style w:type="character" w:customStyle="1" w:styleId="Heading1Char">
    <w:name w:val="Heading 1 Char"/>
    <w:basedOn w:val="DefaultParagraphFont"/>
    <w:link w:val="Heading1"/>
    <w:rsid w:val="00794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A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4A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4A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94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4A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4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A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4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A7B"/>
    <w:rPr>
      <w:b/>
      <w:spacing w:val="0"/>
    </w:rPr>
  </w:style>
  <w:style w:type="paragraph" w:customStyle="1" w:styleId="SuperTitle">
    <w:name w:val="SuperTitle"/>
    <w:basedOn w:val="Title"/>
    <w:rsid w:val="00794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A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A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A7B"/>
    <w:rPr>
      <w:i/>
    </w:rPr>
  </w:style>
  <w:style w:type="paragraph" w:styleId="Caption">
    <w:name w:val="caption"/>
    <w:basedOn w:val="BodyText"/>
    <w:next w:val="Normal"/>
    <w:qFormat/>
    <w:rsid w:val="00794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A7B"/>
  </w:style>
  <w:style w:type="paragraph" w:styleId="TableofFigures">
    <w:name w:val="table of figures"/>
    <w:basedOn w:val="Normal"/>
    <w:next w:val="Normal"/>
    <w:semiHidden/>
    <w:rsid w:val="00794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A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4A7B"/>
    <w:rPr>
      <w:rFonts w:ascii="Wingdings" w:hAnsi="Wingdings"/>
    </w:rPr>
  </w:style>
  <w:style w:type="character" w:customStyle="1" w:styleId="HotSpot">
    <w:name w:val="HotSpot"/>
    <w:rsid w:val="00794A7B"/>
    <w:rPr>
      <w:color w:val="0033CC"/>
      <w:u w:val="none"/>
    </w:rPr>
  </w:style>
  <w:style w:type="paragraph" w:customStyle="1" w:styleId="BodyTextRight">
    <w:name w:val="Body Text Right"/>
    <w:basedOn w:val="BodyText"/>
    <w:rsid w:val="00794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A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A7B"/>
    <w:rPr>
      <w:sz w:val="32"/>
    </w:rPr>
  </w:style>
  <w:style w:type="paragraph" w:customStyle="1" w:styleId="HeadingProcedure">
    <w:name w:val="Heading Procedure"/>
    <w:basedOn w:val="HeadingBase"/>
    <w:next w:val="Normal"/>
    <w:rsid w:val="00794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A7B"/>
    <w:pPr>
      <w:spacing w:before="60" w:after="60"/>
    </w:pPr>
  </w:style>
  <w:style w:type="paragraph" w:styleId="ListContinue">
    <w:name w:val="List Continue"/>
    <w:basedOn w:val="List"/>
    <w:rsid w:val="00794A7B"/>
    <w:pPr>
      <w:ind w:firstLine="0"/>
    </w:pPr>
  </w:style>
  <w:style w:type="paragraph" w:customStyle="1" w:styleId="ListNote">
    <w:name w:val="List Note"/>
    <w:basedOn w:val="List"/>
    <w:rsid w:val="00794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A7B"/>
    <w:rPr>
      <w:rFonts w:ascii="Courier New" w:hAnsi="Courier New"/>
    </w:rPr>
  </w:style>
  <w:style w:type="paragraph" w:customStyle="1" w:styleId="NoteBullet">
    <w:name w:val="Note Bullet"/>
    <w:basedOn w:val="Note"/>
    <w:rsid w:val="00794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A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4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A7B"/>
    <w:rPr>
      <w:b/>
      <w:smallCaps/>
    </w:rPr>
  </w:style>
  <w:style w:type="paragraph" w:customStyle="1" w:styleId="TableListNumber">
    <w:name w:val="Table List Number"/>
    <w:basedOn w:val="ListNumber"/>
    <w:rsid w:val="00794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A7B"/>
    <w:pPr>
      <w:numPr>
        <w:numId w:val="8"/>
      </w:numPr>
    </w:pPr>
  </w:style>
  <w:style w:type="paragraph" w:customStyle="1" w:styleId="ListAlpha2">
    <w:name w:val="List Alpha 2"/>
    <w:basedOn w:val="List2"/>
    <w:rsid w:val="00794A7B"/>
    <w:pPr>
      <w:numPr>
        <w:numId w:val="7"/>
      </w:numPr>
    </w:pPr>
  </w:style>
  <w:style w:type="paragraph" w:styleId="List2">
    <w:name w:val="List 2"/>
    <w:basedOn w:val="BodyText"/>
    <w:rsid w:val="00794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A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A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4A7B"/>
    <w:pPr>
      <w:numPr>
        <w:numId w:val="3"/>
      </w:numPr>
    </w:pPr>
  </w:style>
  <w:style w:type="paragraph" w:styleId="ListContinue2">
    <w:name w:val="List Continue 2"/>
    <w:basedOn w:val="List2"/>
    <w:rsid w:val="00794A7B"/>
    <w:pPr>
      <w:ind w:firstLine="0"/>
    </w:pPr>
  </w:style>
  <w:style w:type="paragraph" w:styleId="ListContinue3">
    <w:name w:val="List Continue 3"/>
    <w:basedOn w:val="List3"/>
    <w:rsid w:val="00794A7B"/>
    <w:pPr>
      <w:ind w:left="1021" w:firstLine="0"/>
    </w:pPr>
  </w:style>
  <w:style w:type="paragraph" w:styleId="ListContinue4">
    <w:name w:val="List Continue 4"/>
    <w:basedOn w:val="List4"/>
    <w:rsid w:val="00794A7B"/>
    <w:pPr>
      <w:ind w:firstLine="0"/>
    </w:pPr>
  </w:style>
  <w:style w:type="paragraph" w:styleId="ListContinue5">
    <w:name w:val="List Continue 5"/>
    <w:basedOn w:val="List5"/>
    <w:rsid w:val="00794A7B"/>
    <w:pPr>
      <w:ind w:firstLine="0"/>
    </w:pPr>
  </w:style>
  <w:style w:type="paragraph" w:styleId="ListNumber3">
    <w:name w:val="List Number 3"/>
    <w:basedOn w:val="List3"/>
    <w:rsid w:val="00794A7B"/>
    <w:pPr>
      <w:numPr>
        <w:numId w:val="4"/>
      </w:numPr>
    </w:pPr>
  </w:style>
  <w:style w:type="paragraph" w:styleId="ListNumber4">
    <w:name w:val="List Number 4"/>
    <w:basedOn w:val="List4"/>
    <w:rsid w:val="00794A7B"/>
    <w:pPr>
      <w:numPr>
        <w:numId w:val="5"/>
      </w:numPr>
    </w:pPr>
  </w:style>
  <w:style w:type="paragraph" w:styleId="ListNumber5">
    <w:name w:val="List Number 5"/>
    <w:basedOn w:val="List5"/>
    <w:rsid w:val="00794A7B"/>
    <w:pPr>
      <w:numPr>
        <w:numId w:val="6"/>
      </w:numPr>
    </w:pPr>
  </w:style>
  <w:style w:type="paragraph" w:styleId="BlockText">
    <w:name w:val="Block Text"/>
    <w:basedOn w:val="Normal"/>
    <w:rsid w:val="00794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A7B"/>
    <w:rPr>
      <w:sz w:val="16"/>
      <w:vertAlign w:val="superscript"/>
    </w:rPr>
  </w:style>
  <w:style w:type="character" w:customStyle="1" w:styleId="Symbols">
    <w:name w:val="Symbols"/>
    <w:basedOn w:val="DefaultParagraphFont"/>
    <w:rsid w:val="00794A7B"/>
    <w:rPr>
      <w:rFonts w:ascii="Symbol" w:hAnsi="Symbol"/>
    </w:rPr>
  </w:style>
  <w:style w:type="character" w:customStyle="1" w:styleId="MenuOptions">
    <w:name w:val="Menu Options"/>
    <w:basedOn w:val="DefaultParagraphFont"/>
    <w:rsid w:val="00794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A7B"/>
    <w:rPr>
      <w:b/>
    </w:rPr>
  </w:style>
  <w:style w:type="character" w:customStyle="1" w:styleId="Underlined">
    <w:name w:val="Underlined"/>
    <w:basedOn w:val="DefaultParagraphFont"/>
    <w:rsid w:val="00794A7B"/>
    <w:rPr>
      <w:u w:val="single"/>
    </w:rPr>
  </w:style>
  <w:style w:type="paragraph" w:customStyle="1" w:styleId="TableBodyTextRight">
    <w:name w:val="Table Body Text Right"/>
    <w:basedOn w:val="TableBodyText"/>
    <w:rsid w:val="00794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A7B"/>
    <w:rPr>
      <w:sz w:val="18"/>
    </w:rPr>
  </w:style>
  <w:style w:type="paragraph" w:customStyle="1" w:styleId="BodySmallRight">
    <w:name w:val="Body Small Right"/>
    <w:basedOn w:val="BodyTextRight"/>
    <w:rsid w:val="00794A7B"/>
    <w:rPr>
      <w:sz w:val="18"/>
      <w:szCs w:val="18"/>
    </w:rPr>
  </w:style>
  <w:style w:type="paragraph" w:customStyle="1" w:styleId="MarginEdition">
    <w:name w:val="Margin Edition"/>
    <w:basedOn w:val="MarginNote"/>
    <w:rsid w:val="00794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A7B"/>
    <w:rPr>
      <w:sz w:val="2"/>
      <w:szCs w:val="2"/>
    </w:rPr>
  </w:style>
  <w:style w:type="character" w:customStyle="1" w:styleId="Small">
    <w:name w:val="Small"/>
    <w:basedOn w:val="DefaultParagraphFont"/>
    <w:rsid w:val="00794A7B"/>
    <w:rPr>
      <w:sz w:val="16"/>
    </w:rPr>
  </w:style>
  <w:style w:type="paragraph" w:customStyle="1" w:styleId="WideTable">
    <w:name w:val="Wide Table"/>
    <w:basedOn w:val="Normal"/>
    <w:rsid w:val="00794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A7B"/>
  </w:style>
  <w:style w:type="paragraph" w:styleId="Quote">
    <w:name w:val="Quote"/>
    <w:basedOn w:val="Heading1"/>
    <w:link w:val="QuoteChar"/>
    <w:qFormat/>
    <w:rsid w:val="00794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A7B"/>
    <w:pPr>
      <w:pageBreakBefore/>
    </w:pPr>
  </w:style>
  <w:style w:type="paragraph" w:customStyle="1" w:styleId="Border">
    <w:name w:val="Border"/>
    <w:basedOn w:val="Normal"/>
    <w:qFormat/>
    <w:rsid w:val="00794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A7B"/>
    <w:rPr>
      <w:u w:val="single"/>
    </w:rPr>
  </w:style>
  <w:style w:type="character" w:customStyle="1" w:styleId="BoldandItalics">
    <w:name w:val="Bold and Italics"/>
    <w:qFormat/>
    <w:rsid w:val="00794A7B"/>
    <w:rPr>
      <w:b/>
      <w:i/>
      <w:u w:val="none"/>
    </w:rPr>
  </w:style>
  <w:style w:type="paragraph" w:styleId="BalloonText">
    <w:name w:val="Balloon Text"/>
    <w:basedOn w:val="Normal"/>
    <w:link w:val="BalloonTextChar"/>
    <w:rsid w:val="00794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A7B"/>
    <w:pPr>
      <w:spacing w:before="0" w:after="0"/>
    </w:pPr>
  </w:style>
  <w:style w:type="paragraph" w:customStyle="1" w:styleId="BodyTextBold">
    <w:name w:val="Body Text Bold"/>
    <w:basedOn w:val="BodyText"/>
    <w:qFormat/>
    <w:rsid w:val="00794A7B"/>
    <w:rPr>
      <w:b/>
    </w:rPr>
  </w:style>
  <w:style w:type="character" w:styleId="Hyperlink">
    <w:name w:val="Hyperlink"/>
    <w:basedOn w:val="DefaultParagraphFont"/>
    <w:uiPriority w:val="99"/>
    <w:unhideWhenUsed/>
    <w:rsid w:val="00C82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3160</Characters>
  <Application>Microsoft Office Word</Application>
  <DocSecurity>0</DocSecurity>
  <Lines>126</Lines>
  <Paragraphs>85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AMPA2163 Break down and bone carcase for pet meat or rendering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