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73F" w:rsidP="00996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AMPA2161 Operate waste recovery systems</w:t>
      </w:r>
      <w:r>
        <w:fldChar w:fldCharType="end"/>
      </w:r>
    </w:p>
    <w:p w:rsidR="0099673F" w:rsidP="0099673F">
      <w:pPr>
        <w:pStyle w:val="Version"/>
        <w:sectPr w:rsidSect="00F20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768" w:rsidP="00F20768">
      <w:pPr>
        <w:pStyle w:val="SuperHeading"/>
      </w:pPr>
      <w:r w:rsidRPr="00F20768">
        <w:t>AMPA2161 Operate waste recovery systems</w:t>
      </w:r>
    </w:p>
    <w:p w:rsidR="00000000" w:rsidRPr="00F20768" w:rsidP="00F20768">
      <w:pPr>
        <w:pStyle w:val="Heading1"/>
      </w:pPr>
      <w:bookmarkStart w:id="1" w:name="O_901095"/>
      <w:bookmarkEnd w:id="1"/>
      <w:r w:rsidRPr="00F20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20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Comment</w:t>
            </w:r>
          </w:p>
        </w:tc>
      </w:tr>
      <w:tr w:rsidTr="00F20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68" w:rsidP="00F20768">
            <w:pPr>
              <w:pStyle w:val="BodyText"/>
            </w:pPr>
            <w:r w:rsidRPr="00F20768">
              <w:t>Initial release</w:t>
            </w:r>
          </w:p>
        </w:tc>
      </w:tr>
    </w:tbl>
    <w:p w:rsidR="00000000" w:rsidRPr="00F20768" w:rsidP="00F20768">
      <w:pPr>
        <w:pStyle w:val="BodyText"/>
      </w:pPr>
    </w:p>
    <w:p w:rsidR="00000000" w:rsidRPr="00F20768" w:rsidP="00F20768">
      <w:pPr>
        <w:pStyle w:val="AllowPageBreak"/>
      </w:pPr>
    </w:p>
    <w:p w:rsidR="00000000" w:rsidRPr="00F20768" w:rsidP="00F20768">
      <w:pPr>
        <w:pStyle w:val="Heading1"/>
      </w:pPr>
      <w:bookmarkStart w:id="2" w:name="O_901096"/>
      <w:bookmarkEnd w:id="2"/>
      <w:r w:rsidRPr="00F20768">
        <w:t>Application</w:t>
      </w:r>
    </w:p>
    <w:p w:rsidR="00000000" w:rsidRPr="00F20768" w:rsidP="0099673F">
      <w:pPr>
        <w:pStyle w:val="BodyText"/>
      </w:pPr>
      <w:r w:rsidRPr="00F20768">
        <w:t>This unit describes the skills and knowledge required to recover material from waste water so that solids are not pumped into waste water systems.</w:t>
      </w:r>
    </w:p>
    <w:p w:rsidR="00000000" w:rsidRPr="00F20768" w:rsidP="0099673F">
      <w:pPr>
        <w:pStyle w:val="BodyText"/>
      </w:pPr>
      <w:r w:rsidRPr="00F20768">
        <w:t>This unit is applicable to workers employed at abattoir, independent boning rooms, rendering plant, casing factories, smallgoods factory and game meat processing establishment.</w:t>
      </w:r>
    </w:p>
    <w:p w:rsidR="00000000" w:rsidRPr="00F20768" w:rsidP="0099673F">
      <w:pPr>
        <w:pStyle w:val="BodyText"/>
      </w:pPr>
      <w:r w:rsidRPr="00F20768">
        <w:t>All work should be carried out to comply with workplace and hygiene requiremen</w:t>
      </w:r>
      <w:r w:rsidRPr="00F20768">
        <w:t xml:space="preserve">ts. </w:t>
      </w:r>
    </w:p>
    <w:p w:rsidR="00000000" w:rsidRPr="00F20768" w:rsidP="0099673F">
      <w:pPr>
        <w:pStyle w:val="BodyText"/>
      </w:pPr>
      <w:r w:rsidRPr="00F20768">
        <w:t>This unit applies to individuals who work under general supervision, exercise limited autonomy and have some accountability for their own work.</w:t>
      </w:r>
    </w:p>
    <w:p w:rsidR="00000000" w:rsidRPr="00F20768" w:rsidP="0099673F">
      <w:pPr>
        <w:pStyle w:val="BodyText"/>
      </w:pPr>
      <w:r w:rsidRPr="00F20768">
        <w:t>No occupational licensing, legislative or certification requirements are known to apply to this unit at t</w:t>
      </w:r>
      <w:r w:rsidRPr="00F20768">
        <w:t>he time of publication.</w:t>
      </w:r>
    </w:p>
    <w:p w:rsidR="00000000" w:rsidRPr="00F20768" w:rsidP="0099673F">
      <w:pPr>
        <w:pStyle w:val="BodyText"/>
      </w:pPr>
      <w:r w:rsidRPr="00F20768">
        <w:t>This unit must be delivered and assessed in the context of Australian meat processing standards and regulations.</w:t>
      </w:r>
    </w:p>
    <w:p w:rsidR="00000000" w:rsidRPr="00F20768" w:rsidP="00F20768">
      <w:pPr>
        <w:pStyle w:val="Heading1"/>
      </w:pPr>
      <w:bookmarkStart w:id="3" w:name="O_901097"/>
      <w:bookmarkEnd w:id="3"/>
      <w:r w:rsidRPr="00F20768">
        <w:t>Pre-requisite Unit</w:t>
      </w:r>
    </w:p>
    <w:p w:rsidR="00000000" w:rsidRPr="00F20768" w:rsidP="0099673F">
      <w:pPr>
        <w:pStyle w:val="BodyText"/>
      </w:pPr>
      <w:r w:rsidRPr="00F20768">
        <w:t>Nil.</w:t>
      </w:r>
    </w:p>
    <w:p w:rsidR="00000000" w:rsidRPr="00F20768" w:rsidP="00F20768">
      <w:pPr>
        <w:pStyle w:val="Heading1"/>
      </w:pPr>
      <w:bookmarkStart w:id="4" w:name="O_901099"/>
      <w:bookmarkEnd w:id="4"/>
      <w:r w:rsidRPr="00F20768">
        <w:t>Unit Sector</w:t>
      </w:r>
    </w:p>
    <w:p w:rsidR="00000000" w:rsidRPr="00F20768" w:rsidP="00F20768">
      <w:pPr>
        <w:pStyle w:val="Heading1"/>
      </w:pPr>
      <w:bookmarkStart w:id="5" w:name="O_901100"/>
      <w:bookmarkEnd w:id="5"/>
      <w:r w:rsidRPr="00F20768">
        <w:t>Elements and Performance Criteri</w:t>
      </w:r>
      <w:r w:rsidRPr="00F20768">
        <w:t>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967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Performance criteria</w:t>
            </w:r>
          </w:p>
        </w:tc>
      </w:tr>
      <w:tr w:rsidTr="009967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Performance criteria describe the performance needed to demonstrate achievement of the element.</w:t>
            </w:r>
          </w:p>
        </w:tc>
      </w:tr>
      <w:tr w:rsidTr="009967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1. Monitor waste recovery systems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68" w:rsidP="00F20768">
            <w:pPr>
              <w:pStyle w:val="BodyText"/>
            </w:pPr>
            <w:r w:rsidRPr="00F20768">
              <w:t>1.1 Monitor system regularly to ensure solid waste is contained within the system</w:t>
            </w:r>
          </w:p>
          <w:p w:rsidR="00000000" w:rsidRPr="00F20768" w:rsidP="00F20768">
            <w:pPr>
              <w:pStyle w:val="BodyText"/>
            </w:pPr>
            <w:r w:rsidRPr="00F20768">
              <w:t>1.2 Monitor system to ensure it complies with environmental and workplace requirements</w:t>
            </w:r>
          </w:p>
          <w:p w:rsidR="00000000" w:rsidRPr="00F20768" w:rsidP="00F20768">
            <w:pPr>
              <w:pStyle w:val="BodyText"/>
            </w:pPr>
            <w:r w:rsidRPr="00F20768">
              <w:t>1.3 Identify environmental impact of systems failure</w:t>
            </w:r>
          </w:p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1.4 Take corrective action in resp</w:t>
            </w:r>
            <w:r w:rsidRPr="00F20768">
              <w:t>onse to systems failure in accordance with workplace and regulatory requirements</w:t>
            </w:r>
          </w:p>
        </w:tc>
      </w:tr>
      <w:tr w:rsidTr="009967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2. Operate waste recovery systems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68" w:rsidP="00F20768">
            <w:pPr>
              <w:pStyle w:val="BodyText"/>
            </w:pPr>
            <w:r w:rsidRPr="00F20768">
              <w:t>2.1 Operate and monitor system according to workplace requirements</w:t>
            </w:r>
          </w:p>
          <w:p w:rsidR="00000000" w:rsidRPr="00F20768" w:rsidP="00F20768">
            <w:pPr>
              <w:pStyle w:val="BodyText"/>
            </w:pPr>
            <w:r w:rsidRPr="00F20768">
              <w:t>2.2 Recover material from waste water according to workplace requirements</w:t>
            </w:r>
          </w:p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2.3 Dispose of material in accordance with workplace requirements</w:t>
            </w:r>
          </w:p>
        </w:tc>
      </w:tr>
      <w:tr w:rsidTr="009967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3. Maintain waste recovery systems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68" w:rsidP="00F20768">
            <w:pPr>
              <w:pStyle w:val="BodyText"/>
            </w:pPr>
            <w:r w:rsidRPr="00F20768">
              <w:t>3.1 Maintain waste recovery system in accordance with workplace requirements and manufacturer</w:t>
            </w:r>
            <w:r>
              <w:t>’</w:t>
            </w:r>
            <w:r w:rsidRPr="00F20768">
              <w:t>s specifications</w:t>
            </w:r>
          </w:p>
        </w:tc>
      </w:tr>
    </w:tbl>
    <w:p w:rsidR="00000000" w:rsidRPr="00F20768" w:rsidP="00F20768">
      <w:pPr>
        <w:pStyle w:val="BodyText"/>
      </w:pPr>
    </w:p>
    <w:p w:rsidR="00000000" w:rsidRPr="00F20768" w:rsidP="00F20768">
      <w:pPr>
        <w:pStyle w:val="AllowPageBreak"/>
      </w:pPr>
    </w:p>
    <w:p w:rsidR="00000000" w:rsidRPr="00F20768" w:rsidP="00F20768">
      <w:pPr>
        <w:pStyle w:val="Heading1"/>
      </w:pPr>
      <w:bookmarkStart w:id="6" w:name="O_901101"/>
      <w:bookmarkEnd w:id="6"/>
      <w:r w:rsidRPr="00F20768">
        <w:t>Foundation Skills</w:t>
      </w:r>
    </w:p>
    <w:p w:rsidR="00000000" w:rsidRPr="00F20768" w:rsidP="0099673F">
      <w:pPr>
        <w:pStyle w:val="BodyText"/>
      </w:pPr>
      <w:r w:rsidRPr="00F20768">
        <w:t>Found</w:t>
      </w:r>
      <w:r w:rsidRPr="00F20768">
        <w:t>ation Skills essential to performance are explicit in the performance criteria of this unit of competency.</w:t>
      </w:r>
    </w:p>
    <w:p w:rsidR="00000000" w:rsidRPr="00F20768" w:rsidP="00F20768">
      <w:pPr>
        <w:pStyle w:val="Heading1"/>
      </w:pPr>
      <w:bookmarkStart w:id="7" w:name="O_901102"/>
      <w:bookmarkEnd w:id="7"/>
      <w:r w:rsidRPr="00F20768">
        <w:t>Range of Conditions</w:t>
      </w:r>
    </w:p>
    <w:p w:rsidR="00000000" w:rsidRPr="00F20768" w:rsidP="00F20768">
      <w:pPr>
        <w:pStyle w:val="Heading1"/>
      </w:pPr>
      <w:bookmarkStart w:id="8" w:name="O_901103"/>
      <w:bookmarkEnd w:id="8"/>
      <w:r w:rsidRPr="00F20768">
        <w:t>Unit Mapping Information</w:t>
      </w:r>
    </w:p>
    <w:p w:rsidR="00000000" w:rsidRPr="00F20768" w:rsidP="0099673F">
      <w:pPr>
        <w:pStyle w:val="BodyText"/>
      </w:pPr>
      <w:r w:rsidRPr="00F20768">
        <w:t>This unit is equivalent to MTMP2185C Operate waste recovery systems.</w:t>
      </w:r>
    </w:p>
    <w:p w:rsidR="00000000" w:rsidRPr="00F20768" w:rsidP="00F20768">
      <w:pPr>
        <w:pStyle w:val="Heading1"/>
      </w:pPr>
      <w:bookmarkStart w:id="9" w:name="O_901110"/>
      <w:bookmarkEnd w:id="9"/>
      <w:r w:rsidRPr="00F20768">
        <w:t>Links</w:t>
      </w:r>
    </w:p>
    <w:p w:rsidR="00000000" w:rsidRPr="00F20768" w:rsidP="0099673F">
      <w:pPr>
        <w:pStyle w:val="BodyText"/>
      </w:pPr>
      <w:r w:rsidRPr="00F20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656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0768" w:rsidP="0099673F">
      <w:pPr>
        <w:pStyle w:val="BodyText"/>
        <w:sectPr w:rsidSect="00F207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768" w:rsidP="00F20768">
      <w:pPr>
        <w:pStyle w:val="SuperHeading"/>
      </w:pPr>
      <w:r w:rsidRPr="00F20768">
        <w:t xml:space="preserve">Assessment </w:t>
      </w:r>
      <w:r w:rsidRPr="00F20768">
        <w:t>Requirements for AMPA2161 Operate waste recovery systems</w:t>
      </w:r>
    </w:p>
    <w:p w:rsidR="00000000" w:rsidRPr="00F20768" w:rsidP="00F20768">
      <w:pPr>
        <w:pStyle w:val="Heading1"/>
      </w:pPr>
      <w:bookmarkStart w:id="10" w:name="O_901105"/>
      <w:bookmarkEnd w:id="10"/>
      <w:r w:rsidRPr="00F20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20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TableHeading"/>
              <w:rPr>
                <w:lang w:val="en-NZ"/>
              </w:rPr>
            </w:pPr>
            <w:r w:rsidRPr="00F20768">
              <w:t>Comment</w:t>
            </w:r>
          </w:p>
        </w:tc>
      </w:tr>
      <w:tr w:rsidTr="00F20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68">
            <w:pPr>
              <w:pStyle w:val="BodyText"/>
              <w:rPr>
                <w:lang w:val="en-NZ"/>
              </w:rPr>
            </w:pPr>
            <w:r w:rsidRPr="00F207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68" w:rsidP="00F20768">
            <w:pPr>
              <w:pStyle w:val="BodyText"/>
            </w:pPr>
            <w:r w:rsidRPr="00F20768">
              <w:t>Initial release</w:t>
            </w:r>
          </w:p>
        </w:tc>
      </w:tr>
    </w:tbl>
    <w:p w:rsidR="00000000" w:rsidRPr="00F20768" w:rsidP="00F20768">
      <w:pPr>
        <w:pStyle w:val="BodyText"/>
      </w:pPr>
    </w:p>
    <w:p w:rsidR="00000000" w:rsidRPr="00F20768" w:rsidP="00F20768">
      <w:pPr>
        <w:pStyle w:val="AllowPageBreak"/>
      </w:pPr>
    </w:p>
    <w:p w:rsidR="00000000" w:rsidRPr="00F20768" w:rsidP="00F20768">
      <w:pPr>
        <w:pStyle w:val="Heading1"/>
      </w:pPr>
      <w:bookmarkStart w:id="11" w:name="O_901106"/>
      <w:bookmarkEnd w:id="11"/>
      <w:r w:rsidRPr="00F20768">
        <w:t>Performance Evidence</w:t>
      </w:r>
    </w:p>
    <w:p w:rsidR="00000000" w:rsidRPr="00F20768" w:rsidP="0099673F">
      <w:pPr>
        <w:pStyle w:val="BodyText"/>
      </w:pPr>
      <w:r w:rsidRPr="00F20768">
        <w:t>The candidate must recover material from waste water so that solids are not pumped into waste water systems.</w:t>
      </w:r>
    </w:p>
    <w:p w:rsidR="00000000" w:rsidRPr="00F20768" w:rsidP="0099673F">
      <w:pPr>
        <w:pStyle w:val="BodyText"/>
      </w:pPr>
      <w:r w:rsidRPr="00F20768">
        <w:t xml:space="preserve">The candidate must: </w:t>
      </w:r>
    </w:p>
    <w:p w:rsidR="00000000" w:rsidRPr="00F20768" w:rsidP="00F20768">
      <w:pPr>
        <w:pStyle w:val="ListBullet"/>
      </w:pPr>
      <w:r w:rsidRPr="00F20768">
        <w:t>operate waste recovery systems in accordance with workplace requirements</w:t>
      </w:r>
    </w:p>
    <w:p w:rsidR="00000000" w:rsidRPr="00F20768" w:rsidP="00F20768">
      <w:pPr>
        <w:pStyle w:val="ListBullet"/>
      </w:pPr>
      <w:r w:rsidRPr="00F20768">
        <w:t>consistently observe workplace health and safety re</w:t>
      </w:r>
      <w:r w:rsidRPr="00F20768">
        <w:t>quirements</w:t>
      </w:r>
    </w:p>
    <w:p w:rsidR="00000000" w:rsidRPr="00F20768" w:rsidP="00F20768">
      <w:pPr>
        <w:pStyle w:val="ListBullet"/>
      </w:pPr>
      <w:r w:rsidRPr="00F20768">
        <w:t>operate mechanised system so that solids are not pumped into the waste system</w:t>
      </w:r>
    </w:p>
    <w:p w:rsidR="00000000" w:rsidRPr="00F20768" w:rsidP="00F20768">
      <w:pPr>
        <w:pStyle w:val="AllowPageBreak"/>
      </w:pPr>
    </w:p>
    <w:p w:rsidR="00000000" w:rsidRPr="00F20768" w:rsidP="00F20768">
      <w:pPr>
        <w:pStyle w:val="Heading1"/>
      </w:pPr>
      <w:bookmarkStart w:id="12" w:name="O_901107"/>
      <w:bookmarkEnd w:id="12"/>
      <w:r w:rsidRPr="00F20768">
        <w:t>Knowledge Evidence</w:t>
      </w:r>
    </w:p>
    <w:p w:rsidR="00000000" w:rsidRPr="00F20768" w:rsidP="0099673F">
      <w:pPr>
        <w:pStyle w:val="BodyText"/>
      </w:pPr>
      <w:r w:rsidRPr="00F20768">
        <w:t xml:space="preserve">The candidate must demonstrate a basic factual, technical and procedural knowledge of: </w:t>
      </w:r>
    </w:p>
    <w:p w:rsidR="00000000" w:rsidRPr="00F20768" w:rsidP="00F20768">
      <w:pPr>
        <w:pStyle w:val="ListBullet"/>
      </w:pPr>
      <w:r w:rsidRPr="00F20768">
        <w:t xml:space="preserve">environmental and workplace requirements related to the operation of waste recovery systems. </w:t>
      </w:r>
    </w:p>
    <w:p w:rsidR="00000000" w:rsidRPr="00F20768" w:rsidP="00F20768">
      <w:pPr>
        <w:pStyle w:val="AllowPageBreak"/>
      </w:pPr>
    </w:p>
    <w:p w:rsidR="00000000" w:rsidRPr="00F20768" w:rsidP="00F20768">
      <w:pPr>
        <w:pStyle w:val="Heading1"/>
      </w:pPr>
      <w:bookmarkStart w:id="13" w:name="O_901108"/>
      <w:bookmarkEnd w:id="13"/>
      <w:r w:rsidRPr="00F20768">
        <w:t>Assessment Conditions</w:t>
      </w:r>
    </w:p>
    <w:p w:rsidR="00000000" w:rsidRPr="00F20768" w:rsidP="0099673F">
      <w:pPr>
        <w:pStyle w:val="BodyText"/>
      </w:pPr>
      <w:r w:rsidRPr="00F20768">
        <w:t>Assessment must involve demonstrated competency monitoring a functioning waste recovery system.</w:t>
      </w:r>
    </w:p>
    <w:p w:rsidR="00000000" w:rsidRPr="00F20768" w:rsidP="0099673F">
      <w:pPr>
        <w:pStyle w:val="BodyText"/>
      </w:pPr>
      <w:r w:rsidRPr="00F20768">
        <w:t>Competency must be demonst</w:t>
      </w:r>
      <w:r w:rsidRPr="00F20768">
        <w:t>rated in an operating facility.</w:t>
      </w:r>
    </w:p>
    <w:p w:rsidR="00000000" w:rsidRPr="00F20768" w:rsidP="0099673F">
      <w:pPr>
        <w:pStyle w:val="BodyText"/>
      </w:pPr>
      <w:r w:rsidRPr="00F20768">
        <w:t xml:space="preserve">As a minimum, the following three forms of assessment must be used: </w:t>
      </w:r>
    </w:p>
    <w:p w:rsidR="00000000" w:rsidRPr="00F20768" w:rsidP="00F20768">
      <w:pPr>
        <w:pStyle w:val="ListBullet"/>
      </w:pPr>
      <w:r w:rsidRPr="00F20768">
        <w:t>quiz of underpinning knowledge</w:t>
      </w:r>
    </w:p>
    <w:p w:rsidR="00000000" w:rsidRPr="00F20768" w:rsidP="00F20768">
      <w:pPr>
        <w:pStyle w:val="ListBullet"/>
      </w:pPr>
      <w:r w:rsidRPr="00F20768">
        <w:t xml:space="preserve">workplace demonstration </w:t>
      </w:r>
    </w:p>
    <w:p w:rsidR="00000000" w:rsidRPr="00F20768" w:rsidP="00F20768">
      <w:pPr>
        <w:pStyle w:val="ListBullet"/>
      </w:pPr>
      <w:r w:rsidRPr="00F20768">
        <w:t>workplace referee or third-party report of performance over time</w:t>
      </w:r>
    </w:p>
    <w:p w:rsidR="00000000" w:rsidRPr="00F20768" w:rsidP="00F20768">
      <w:pPr>
        <w:pStyle w:val="BodyText"/>
      </w:pPr>
    </w:p>
    <w:p w:rsidR="00000000" w:rsidRPr="00F20768" w:rsidP="0099673F">
      <w:pPr>
        <w:pStyle w:val="BodyText"/>
      </w:pPr>
      <w:r w:rsidRPr="00F20768">
        <w:t>Assessors must satisfy the curr</w:t>
      </w:r>
      <w:r w:rsidRPr="00F20768">
        <w:t>ent standards for RTOs.</w:t>
      </w:r>
    </w:p>
    <w:p w:rsidR="00000000" w:rsidRPr="00F20768" w:rsidP="00F20768">
      <w:pPr>
        <w:pStyle w:val="Heading1"/>
      </w:pPr>
      <w:bookmarkStart w:id="14" w:name="O_901111"/>
      <w:bookmarkEnd w:id="14"/>
      <w:r w:rsidRPr="00F20768">
        <w:t>Links</w:t>
      </w:r>
    </w:p>
    <w:p w:rsidR="00000000" w:rsidRPr="00F20768" w:rsidP="0099673F">
      <w:pPr>
        <w:pStyle w:val="BodyText"/>
      </w:pPr>
      <w:r w:rsidRPr="00F20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656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0768" w:rsidP="00F20768"/>
    <w:sectPr w:rsidSect="00F207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 w:rsidRPr="0099673F" w:rsidP="00996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3F" w:rsidP="00F20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73F" w:rsidP="00F20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673F" w:rsidP="00F207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 w:rsidP="00F20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673F">
      <w:t>Approved</w:t>
    </w:r>
    <w:r w:rsidR="00996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67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673F">
      <w:rPr>
        <w:noProof/>
      </w:rPr>
      <w:t>4</w:t>
    </w:r>
    <w:r>
      <w:rPr>
        <w:noProof/>
      </w:rPr>
      <w:fldChar w:fldCharType="end"/>
    </w:r>
  </w:p>
  <w:p w:rsidR="00F20768" w:rsidP="00F20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6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673F">
      <w:t>Skills Insight</w:t>
    </w:r>
    <w:r w:rsidR="0099673F">
      <w:fldChar w:fldCharType="end"/>
    </w:r>
  </w:p>
  <w:p w:rsidR="00F20768" w:rsidP="00F20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768" w:rsidRPr="0099673F" w:rsidP="00996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3F" w:rsidRPr="002D2AF8" w:rsidP="00F20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AMPA2161 Operate waste recovery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673F" w:rsidP="00F207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68" w:rsidRPr="002D2AF8" w:rsidP="00F20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673F">
      <w:t>AMPA2161 Operate waste recovery systems</w:t>
    </w:r>
    <w:r w:rsidR="00996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673F">
      <w:rPr>
        <w:noProof/>
      </w:rPr>
      <w:t>2 March 2025</w:t>
    </w:r>
    <w:r>
      <w:fldChar w:fldCharType="end"/>
    </w:r>
  </w:p>
  <w:p w:rsidR="00F20768" w:rsidP="00F20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5AE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A0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768"/>
  </w:style>
  <w:style w:type="character" w:customStyle="1" w:styleId="Heading1Char">
    <w:name w:val="Heading 1 Char"/>
    <w:basedOn w:val="DefaultParagraphFont"/>
    <w:link w:val="Heading1"/>
    <w:rsid w:val="00F20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7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0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07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0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0768"/>
    <w:rPr>
      <w:b/>
      <w:spacing w:val="0"/>
    </w:rPr>
  </w:style>
  <w:style w:type="paragraph" w:customStyle="1" w:styleId="SuperTitle">
    <w:name w:val="SuperTitle"/>
    <w:basedOn w:val="Title"/>
    <w:rsid w:val="00F20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7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768"/>
    <w:rPr>
      <w:i/>
    </w:rPr>
  </w:style>
  <w:style w:type="paragraph" w:styleId="Caption">
    <w:name w:val="caption"/>
    <w:basedOn w:val="BodyText"/>
    <w:next w:val="Normal"/>
    <w:qFormat/>
    <w:rsid w:val="00F20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768"/>
  </w:style>
  <w:style w:type="paragraph" w:styleId="TableofFigures">
    <w:name w:val="table of figures"/>
    <w:basedOn w:val="Normal"/>
    <w:next w:val="Normal"/>
    <w:semiHidden/>
    <w:rsid w:val="00F20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7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768"/>
    <w:rPr>
      <w:rFonts w:ascii="Wingdings" w:hAnsi="Wingdings"/>
    </w:rPr>
  </w:style>
  <w:style w:type="character" w:customStyle="1" w:styleId="HotSpot">
    <w:name w:val="HotSpot"/>
    <w:rsid w:val="00F20768"/>
    <w:rPr>
      <w:color w:val="0033CC"/>
      <w:u w:val="none"/>
    </w:rPr>
  </w:style>
  <w:style w:type="paragraph" w:customStyle="1" w:styleId="BodyTextRight">
    <w:name w:val="Body Text Right"/>
    <w:basedOn w:val="BodyText"/>
    <w:rsid w:val="00F20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768"/>
    <w:rPr>
      <w:sz w:val="32"/>
    </w:rPr>
  </w:style>
  <w:style w:type="paragraph" w:customStyle="1" w:styleId="HeadingProcedure">
    <w:name w:val="Heading Procedure"/>
    <w:basedOn w:val="HeadingBase"/>
    <w:next w:val="Normal"/>
    <w:rsid w:val="00F20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768"/>
    <w:pPr>
      <w:spacing w:before="60" w:after="60"/>
    </w:pPr>
  </w:style>
  <w:style w:type="paragraph" w:styleId="ListContinue">
    <w:name w:val="List Continue"/>
    <w:basedOn w:val="List"/>
    <w:rsid w:val="00F20768"/>
    <w:pPr>
      <w:ind w:firstLine="0"/>
    </w:pPr>
  </w:style>
  <w:style w:type="paragraph" w:customStyle="1" w:styleId="ListNote">
    <w:name w:val="List Note"/>
    <w:basedOn w:val="List"/>
    <w:rsid w:val="00F20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768"/>
    <w:rPr>
      <w:rFonts w:ascii="Courier New" w:hAnsi="Courier New"/>
    </w:rPr>
  </w:style>
  <w:style w:type="paragraph" w:customStyle="1" w:styleId="NoteBullet">
    <w:name w:val="Note Bullet"/>
    <w:basedOn w:val="Note"/>
    <w:rsid w:val="00F20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7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768"/>
    <w:rPr>
      <w:b/>
      <w:smallCaps/>
    </w:rPr>
  </w:style>
  <w:style w:type="paragraph" w:customStyle="1" w:styleId="TableListNumber">
    <w:name w:val="Table List Number"/>
    <w:basedOn w:val="ListNumber"/>
    <w:rsid w:val="00F20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768"/>
    <w:pPr>
      <w:numPr>
        <w:numId w:val="8"/>
      </w:numPr>
    </w:pPr>
  </w:style>
  <w:style w:type="paragraph" w:customStyle="1" w:styleId="ListAlpha2">
    <w:name w:val="List Alpha 2"/>
    <w:basedOn w:val="List2"/>
    <w:rsid w:val="00F20768"/>
    <w:pPr>
      <w:numPr>
        <w:numId w:val="7"/>
      </w:numPr>
    </w:pPr>
  </w:style>
  <w:style w:type="paragraph" w:styleId="List2">
    <w:name w:val="List 2"/>
    <w:basedOn w:val="BodyText"/>
    <w:rsid w:val="00F20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7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7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768"/>
    <w:pPr>
      <w:numPr>
        <w:numId w:val="3"/>
      </w:numPr>
    </w:pPr>
  </w:style>
  <w:style w:type="paragraph" w:styleId="ListContinue2">
    <w:name w:val="List Continue 2"/>
    <w:basedOn w:val="List2"/>
    <w:rsid w:val="00F20768"/>
    <w:pPr>
      <w:ind w:firstLine="0"/>
    </w:pPr>
  </w:style>
  <w:style w:type="paragraph" w:styleId="ListContinue3">
    <w:name w:val="List Continue 3"/>
    <w:basedOn w:val="List3"/>
    <w:rsid w:val="00F20768"/>
    <w:pPr>
      <w:ind w:left="1021" w:firstLine="0"/>
    </w:pPr>
  </w:style>
  <w:style w:type="paragraph" w:styleId="ListContinue4">
    <w:name w:val="List Continue 4"/>
    <w:basedOn w:val="List4"/>
    <w:rsid w:val="00F20768"/>
    <w:pPr>
      <w:ind w:firstLine="0"/>
    </w:pPr>
  </w:style>
  <w:style w:type="paragraph" w:styleId="ListContinue5">
    <w:name w:val="List Continue 5"/>
    <w:basedOn w:val="List5"/>
    <w:rsid w:val="00F20768"/>
    <w:pPr>
      <w:ind w:firstLine="0"/>
    </w:pPr>
  </w:style>
  <w:style w:type="paragraph" w:styleId="ListNumber3">
    <w:name w:val="List Number 3"/>
    <w:basedOn w:val="List3"/>
    <w:rsid w:val="00F20768"/>
    <w:pPr>
      <w:numPr>
        <w:numId w:val="4"/>
      </w:numPr>
    </w:pPr>
  </w:style>
  <w:style w:type="paragraph" w:styleId="ListNumber4">
    <w:name w:val="List Number 4"/>
    <w:basedOn w:val="List4"/>
    <w:rsid w:val="00F20768"/>
    <w:pPr>
      <w:numPr>
        <w:numId w:val="5"/>
      </w:numPr>
    </w:pPr>
  </w:style>
  <w:style w:type="paragraph" w:styleId="ListNumber5">
    <w:name w:val="List Number 5"/>
    <w:basedOn w:val="List5"/>
    <w:rsid w:val="00F20768"/>
    <w:pPr>
      <w:numPr>
        <w:numId w:val="6"/>
      </w:numPr>
    </w:pPr>
  </w:style>
  <w:style w:type="paragraph" w:styleId="BlockText">
    <w:name w:val="Block Text"/>
    <w:basedOn w:val="Normal"/>
    <w:rsid w:val="00F20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768"/>
    <w:rPr>
      <w:sz w:val="16"/>
      <w:vertAlign w:val="superscript"/>
    </w:rPr>
  </w:style>
  <w:style w:type="character" w:customStyle="1" w:styleId="Symbols">
    <w:name w:val="Symbols"/>
    <w:basedOn w:val="DefaultParagraphFont"/>
    <w:rsid w:val="00F20768"/>
    <w:rPr>
      <w:rFonts w:ascii="Symbol" w:hAnsi="Symbol"/>
    </w:rPr>
  </w:style>
  <w:style w:type="character" w:customStyle="1" w:styleId="MenuOptions">
    <w:name w:val="Menu Options"/>
    <w:basedOn w:val="DefaultParagraphFont"/>
    <w:rsid w:val="00F20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768"/>
    <w:rPr>
      <w:b/>
    </w:rPr>
  </w:style>
  <w:style w:type="character" w:customStyle="1" w:styleId="Underlined">
    <w:name w:val="Underlined"/>
    <w:basedOn w:val="DefaultParagraphFont"/>
    <w:rsid w:val="00F20768"/>
    <w:rPr>
      <w:u w:val="single"/>
    </w:rPr>
  </w:style>
  <w:style w:type="paragraph" w:customStyle="1" w:styleId="TableBodyTextRight">
    <w:name w:val="Table Body Text Right"/>
    <w:basedOn w:val="TableBodyText"/>
    <w:rsid w:val="00F20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768"/>
    <w:rPr>
      <w:sz w:val="18"/>
    </w:rPr>
  </w:style>
  <w:style w:type="paragraph" w:customStyle="1" w:styleId="BodySmallRight">
    <w:name w:val="Body Small Right"/>
    <w:basedOn w:val="BodyTextRight"/>
    <w:rsid w:val="00F20768"/>
    <w:rPr>
      <w:sz w:val="18"/>
      <w:szCs w:val="18"/>
    </w:rPr>
  </w:style>
  <w:style w:type="paragraph" w:customStyle="1" w:styleId="MarginEdition">
    <w:name w:val="Margin Edition"/>
    <w:basedOn w:val="MarginNote"/>
    <w:rsid w:val="00F20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768"/>
    <w:rPr>
      <w:sz w:val="2"/>
      <w:szCs w:val="2"/>
    </w:rPr>
  </w:style>
  <w:style w:type="character" w:customStyle="1" w:styleId="Small">
    <w:name w:val="Small"/>
    <w:basedOn w:val="DefaultParagraphFont"/>
    <w:rsid w:val="00F20768"/>
    <w:rPr>
      <w:sz w:val="16"/>
    </w:rPr>
  </w:style>
  <w:style w:type="paragraph" w:customStyle="1" w:styleId="WideTable">
    <w:name w:val="Wide Table"/>
    <w:basedOn w:val="Normal"/>
    <w:rsid w:val="00F20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768"/>
  </w:style>
  <w:style w:type="paragraph" w:styleId="Quote">
    <w:name w:val="Quote"/>
    <w:basedOn w:val="Heading1"/>
    <w:link w:val="QuoteChar"/>
    <w:qFormat/>
    <w:rsid w:val="00F20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768"/>
    <w:pPr>
      <w:pageBreakBefore/>
    </w:pPr>
  </w:style>
  <w:style w:type="paragraph" w:customStyle="1" w:styleId="Border">
    <w:name w:val="Border"/>
    <w:basedOn w:val="Normal"/>
    <w:qFormat/>
    <w:rsid w:val="00F20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768"/>
    <w:rPr>
      <w:u w:val="single"/>
    </w:rPr>
  </w:style>
  <w:style w:type="character" w:customStyle="1" w:styleId="BoldandItalics">
    <w:name w:val="Bold and Italics"/>
    <w:qFormat/>
    <w:rsid w:val="00F20768"/>
    <w:rPr>
      <w:b/>
      <w:i/>
      <w:u w:val="none"/>
    </w:rPr>
  </w:style>
  <w:style w:type="paragraph" w:styleId="BalloonText">
    <w:name w:val="Balloon Text"/>
    <w:basedOn w:val="Normal"/>
    <w:link w:val="BalloonTextChar"/>
    <w:rsid w:val="00F20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768"/>
    <w:pPr>
      <w:spacing w:before="0" w:after="0"/>
    </w:pPr>
  </w:style>
  <w:style w:type="paragraph" w:customStyle="1" w:styleId="BodyTextBold">
    <w:name w:val="Body Text Bold"/>
    <w:basedOn w:val="BodyText"/>
    <w:qFormat/>
    <w:rsid w:val="00F20768"/>
    <w:rPr>
      <w:b/>
    </w:rPr>
  </w:style>
  <w:style w:type="character" w:styleId="Hyperlink">
    <w:name w:val="Hyperlink"/>
    <w:basedOn w:val="DefaultParagraphFont"/>
    <w:uiPriority w:val="99"/>
    <w:unhideWhenUsed/>
    <w:rsid w:val="00996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3413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AMPA2161 Operate waste recovery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