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0ED" w:rsidP="00D45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AMPA2158 Operate hogger</w:t>
      </w:r>
      <w:r>
        <w:fldChar w:fldCharType="end"/>
      </w:r>
    </w:p>
    <w:p w:rsidR="00D450ED" w:rsidP="00D450ED">
      <w:pPr>
        <w:pStyle w:val="Version"/>
        <w:sectPr w:rsidSect="00E62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41D" w:rsidP="00E6241D">
      <w:pPr>
        <w:pStyle w:val="SuperHeading"/>
      </w:pPr>
      <w:r w:rsidRPr="00E6241D">
        <w:t>AMPA2158 Operate hogger</w:t>
      </w:r>
    </w:p>
    <w:p w:rsidR="00000000" w:rsidRPr="00E6241D" w:rsidP="00E6241D">
      <w:pPr>
        <w:pStyle w:val="Heading1"/>
      </w:pPr>
      <w:bookmarkStart w:id="1" w:name="O_900905"/>
      <w:bookmarkEnd w:id="1"/>
      <w:r w:rsidRPr="00E62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2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Comment</w:t>
            </w:r>
          </w:p>
        </w:tc>
      </w:tr>
      <w:tr w:rsidTr="00E62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41D" w:rsidP="00E6241D">
            <w:pPr>
              <w:pStyle w:val="BodyText"/>
            </w:pPr>
            <w:r w:rsidRPr="00E6241D">
              <w:t>Initial release</w:t>
            </w:r>
          </w:p>
        </w:tc>
      </w:tr>
    </w:tbl>
    <w:p w:rsidR="00000000" w:rsidRPr="00E6241D" w:rsidP="00E6241D">
      <w:pPr>
        <w:pStyle w:val="BodyText"/>
      </w:pPr>
    </w:p>
    <w:p w:rsidR="00000000" w:rsidRPr="00E6241D" w:rsidP="00E6241D">
      <w:pPr>
        <w:pStyle w:val="AllowPageBreak"/>
      </w:pPr>
    </w:p>
    <w:p w:rsidR="00000000" w:rsidRPr="00E6241D" w:rsidP="00E6241D">
      <w:pPr>
        <w:pStyle w:val="Heading1"/>
      </w:pPr>
      <w:bookmarkStart w:id="2" w:name="O_900906"/>
      <w:bookmarkEnd w:id="2"/>
      <w:r w:rsidRPr="00E6241D">
        <w:t>Application</w:t>
      </w:r>
    </w:p>
    <w:p w:rsidR="00000000" w:rsidRPr="00E6241D" w:rsidP="00D450ED">
      <w:pPr>
        <w:pStyle w:val="BodyText"/>
      </w:pPr>
      <w:r w:rsidRPr="00E6241D">
        <w:t>This unit describes the skills and knowledge required to operate a hogger to transport raw materials for rendering operations.</w:t>
      </w:r>
    </w:p>
    <w:p w:rsidR="00000000" w:rsidRPr="00E6241D" w:rsidP="00D450ED">
      <w:pPr>
        <w:pStyle w:val="BodyText"/>
      </w:pPr>
      <w:r w:rsidRPr="00E6241D">
        <w:t>This unit is applicable to workers in meat rendering plants.</w:t>
      </w:r>
    </w:p>
    <w:p w:rsidR="00000000" w:rsidRPr="00E6241D" w:rsidP="00D450ED">
      <w:pPr>
        <w:pStyle w:val="BodyText"/>
      </w:pPr>
      <w:r w:rsidRPr="00E6241D">
        <w:t xml:space="preserve">All work should be carried out to comply with workplace and hygiene requirements. </w:t>
      </w:r>
    </w:p>
    <w:p w:rsidR="00000000" w:rsidRPr="00E6241D" w:rsidP="00D450ED">
      <w:pPr>
        <w:pStyle w:val="BodyText"/>
      </w:pPr>
      <w:r w:rsidRPr="00E6241D">
        <w:t>This unit applies to individuals who work under general supervision, exercise limited autonomy and have some a</w:t>
      </w:r>
      <w:r w:rsidRPr="00E6241D">
        <w:t>ccountability for their own work.</w:t>
      </w:r>
    </w:p>
    <w:p w:rsidR="00000000" w:rsidRPr="00E6241D" w:rsidP="00D450ED">
      <w:pPr>
        <w:pStyle w:val="BodyText"/>
      </w:pPr>
      <w:r w:rsidRPr="00E6241D">
        <w:t>No occupational licensing, legislative or certification requirements are known to apply to this unit at the time of publication.</w:t>
      </w:r>
    </w:p>
    <w:p w:rsidR="00000000" w:rsidRPr="00E6241D" w:rsidP="00D450ED">
      <w:pPr>
        <w:pStyle w:val="BodyText"/>
      </w:pPr>
      <w:r w:rsidRPr="00E6241D">
        <w:t>This unit must be delivered and assessed in the context of Australian meat processing stand</w:t>
      </w:r>
      <w:r w:rsidRPr="00E6241D">
        <w:t>ards and regulations.</w:t>
      </w:r>
    </w:p>
    <w:p w:rsidR="00000000" w:rsidRPr="00E6241D" w:rsidP="00E6241D">
      <w:pPr>
        <w:pStyle w:val="Heading1"/>
      </w:pPr>
      <w:bookmarkStart w:id="3" w:name="O_900907"/>
      <w:bookmarkEnd w:id="3"/>
      <w:r w:rsidRPr="00E6241D">
        <w:t>Pre-requisite Unit</w:t>
      </w:r>
    </w:p>
    <w:p w:rsidR="00000000" w:rsidRPr="00E6241D" w:rsidP="00D450ED">
      <w:pPr>
        <w:pStyle w:val="BodyText"/>
      </w:pPr>
      <w:r w:rsidRPr="00E6241D">
        <w:t>Nil.</w:t>
      </w:r>
    </w:p>
    <w:p w:rsidR="00000000" w:rsidRPr="00E6241D" w:rsidP="00E6241D">
      <w:pPr>
        <w:pStyle w:val="Heading1"/>
      </w:pPr>
      <w:bookmarkStart w:id="4" w:name="O_900909"/>
      <w:bookmarkEnd w:id="4"/>
      <w:r w:rsidRPr="00E6241D">
        <w:t>Unit Sector</w:t>
      </w:r>
    </w:p>
    <w:p w:rsidR="00000000" w:rsidRPr="00E6241D" w:rsidP="00E6241D">
      <w:pPr>
        <w:pStyle w:val="Heading1"/>
      </w:pPr>
      <w:bookmarkStart w:id="5" w:name="O_900910"/>
      <w:bookmarkEnd w:id="5"/>
      <w:r w:rsidRPr="00E6241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Performance criteria</w:t>
            </w:r>
          </w:p>
        </w:tc>
      </w:tr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 xml:space="preserve">Elements describe the </w:t>
            </w:r>
            <w:r w:rsidRPr="00E6241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 xml:space="preserve">Performance criteria describe the performance needed to </w:t>
            </w:r>
            <w:r w:rsidRPr="00E6241D">
              <w:t>demonstrate achievement of the element.</w:t>
            </w:r>
          </w:p>
        </w:tc>
      </w:tr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1. Deliver material to feeder bins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41D" w:rsidP="00E6241D">
            <w:pPr>
              <w:pStyle w:val="BodyText"/>
            </w:pPr>
            <w:r w:rsidRPr="00E6241D">
              <w:t>1.1 Deliver material to feeder bins in accordance with workplace requirements</w:t>
            </w:r>
          </w:p>
          <w:p w:rsidR="00000000" w:rsidRPr="00E6241D" w:rsidP="00E6241D">
            <w:pPr>
              <w:pStyle w:val="BodyText"/>
            </w:pPr>
            <w:r w:rsidRPr="00E6241D">
              <w:t>1.2 Deliver material to feeder bins in accorda</w:t>
            </w:r>
            <w:r w:rsidRPr="00E6241D">
              <w:t>nce with workplace health and safety requirements and in particular, in accordance with manual handling requirements</w:t>
            </w:r>
          </w:p>
          <w:p w:rsidR="00000000" w:rsidRPr="00E6241D" w:rsidP="00E6241D">
            <w:pPr>
              <w:pStyle w:val="BodyText"/>
            </w:pPr>
            <w:r w:rsidRPr="00E6241D">
              <w:t>1.3 Monitor delivery of meat waste in accordance with workplace requirements</w:t>
            </w:r>
          </w:p>
          <w:p w:rsidR="00000000" w:rsidRPr="00E6241D" w:rsidP="00E6241D">
            <w:pPr>
              <w:pStyle w:val="BodyText"/>
            </w:pPr>
            <w:r w:rsidRPr="00E6241D">
              <w:t>1.4 Deal with condemned carcases promptly</w:t>
            </w:r>
          </w:p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1.5 Follow housekeep</w:t>
            </w:r>
            <w:r w:rsidRPr="00E6241D">
              <w:t>ing requirements in relation to work area</w:t>
            </w:r>
          </w:p>
        </w:tc>
      </w:tr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2. Operate hogger</w:t>
            </w:r>
            <w:r w:rsidRPr="00E6241D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41D" w:rsidP="00E6241D">
            <w:pPr>
              <w:pStyle w:val="BodyText"/>
            </w:pPr>
            <w:r w:rsidRPr="00E6241D">
              <w:t>2.1 Operate hogger in accordance with manufacturer</w:t>
            </w:r>
            <w:r>
              <w:t>’</w:t>
            </w:r>
            <w:r w:rsidRPr="00E6241D">
              <w:t>s and workplace requirements</w:t>
            </w:r>
          </w:p>
          <w:p w:rsidR="00000000" w:rsidRPr="00E6241D" w:rsidP="00E6241D">
            <w:pPr>
              <w:pStyle w:val="BodyText"/>
            </w:pPr>
            <w:r w:rsidRPr="00E6241D">
              <w:t>2.2 Operate hogger in accordance with workplace health and safety requirements</w:t>
            </w:r>
          </w:p>
          <w:p w:rsidR="00000000" w:rsidRPr="00E6241D" w:rsidP="00E6241D">
            <w:pPr>
              <w:pStyle w:val="BodyText"/>
            </w:pPr>
            <w:r w:rsidRPr="00E6241D">
              <w:t>2.3 Maintain flow of waste material to rendering plant to keep adequate levels in holding or feeder bins</w:t>
            </w:r>
          </w:p>
          <w:p w:rsidR="00000000" w:rsidRPr="00E6241D" w:rsidP="00E6241D">
            <w:pPr>
              <w:pStyle w:val="BodyText"/>
            </w:pPr>
            <w:r w:rsidRPr="00E6241D">
              <w:t>2.4 Promptly correct problems associated with waste or hogger operation or report them to supervisor</w:t>
            </w:r>
          </w:p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 xml:space="preserve">2.5 Carry out routine maintenance and cleaning in </w:t>
            </w:r>
            <w:r w:rsidRPr="00E6241D">
              <w:t>accordance with workplace requirements</w:t>
            </w:r>
          </w:p>
        </w:tc>
      </w:tr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3. Monitor filling and emptying of raw material receival bin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3.1 Monitor filling and emptying of raw material receival bins to prevent overfilling and to clear any blockages in drainage in accordance with workplace r</w:t>
            </w:r>
            <w:r w:rsidRPr="00E6241D">
              <w:t>equirements</w:t>
            </w:r>
          </w:p>
        </w:tc>
      </w:tr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4. Check size reduction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4.1 Check size reduction equipment for wear in accordance with workplace requirements.</w:t>
            </w:r>
          </w:p>
        </w:tc>
      </w:tr>
      <w:tr w:rsidTr="00D450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5. Operate metal detector (wet rendering) or magnet (dry rendering)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41D" w:rsidP="00E6241D">
            <w:pPr>
              <w:pStyle w:val="BodyText"/>
            </w:pPr>
            <w:r w:rsidRPr="00E6241D">
              <w:t>5.1 Check metal detector or magnet sensitivity regula</w:t>
            </w:r>
            <w:r w:rsidRPr="00E6241D">
              <w:t>rly</w:t>
            </w:r>
          </w:p>
          <w:p w:rsidR="00000000" w:rsidRPr="00E6241D" w:rsidP="00E6241D">
            <w:pPr>
              <w:pStyle w:val="BodyText"/>
            </w:pPr>
            <w:r w:rsidRPr="00E6241D">
              <w:t>5.2 Operate metal detector or magnet in accordance with workplace requirements</w:t>
            </w:r>
          </w:p>
          <w:p w:rsidR="00000000" w:rsidRPr="00E6241D" w:rsidP="00E6241D">
            <w:pPr>
              <w:pStyle w:val="BodyText"/>
            </w:pPr>
            <w:r w:rsidRPr="00E6241D">
              <w:t>5.3 Remove metal from magnet or product</w:t>
            </w:r>
          </w:p>
        </w:tc>
      </w:tr>
    </w:tbl>
    <w:p w:rsidR="00000000" w:rsidRPr="00E6241D" w:rsidP="00E6241D">
      <w:pPr>
        <w:pStyle w:val="BodyText"/>
      </w:pPr>
    </w:p>
    <w:p w:rsidR="00000000" w:rsidRPr="00E6241D" w:rsidP="00E6241D">
      <w:pPr>
        <w:pStyle w:val="AllowPageBreak"/>
      </w:pPr>
    </w:p>
    <w:p w:rsidR="00000000" w:rsidRPr="00E6241D" w:rsidP="00E6241D">
      <w:pPr>
        <w:pStyle w:val="Heading1"/>
      </w:pPr>
      <w:bookmarkStart w:id="6" w:name="O_900911"/>
      <w:bookmarkEnd w:id="6"/>
      <w:r w:rsidRPr="00E6241D">
        <w:t>Foundation Skills</w:t>
      </w:r>
    </w:p>
    <w:p w:rsidR="00000000" w:rsidRPr="00E6241D" w:rsidP="00D450ED">
      <w:pPr>
        <w:pStyle w:val="BodyText"/>
      </w:pPr>
      <w:r w:rsidRPr="00E6241D">
        <w:t>Foundation Skills essential to performance are explicit in the performance criteria of this unit of competency.</w:t>
      </w:r>
    </w:p>
    <w:p w:rsidR="00000000" w:rsidRPr="00E6241D" w:rsidP="00E6241D">
      <w:pPr>
        <w:pStyle w:val="Heading1"/>
      </w:pPr>
      <w:bookmarkStart w:id="7" w:name="O_900912"/>
      <w:bookmarkEnd w:id="7"/>
      <w:r w:rsidRPr="00E6241D">
        <w:t>Range of Conditions</w:t>
      </w:r>
    </w:p>
    <w:p w:rsidR="00000000" w:rsidRPr="00E6241D" w:rsidP="00E6241D">
      <w:pPr>
        <w:pStyle w:val="Heading1"/>
      </w:pPr>
      <w:bookmarkStart w:id="8" w:name="O_900913"/>
      <w:bookmarkEnd w:id="8"/>
      <w:r w:rsidRPr="00E6241D">
        <w:t>Unit Mapping Information</w:t>
      </w:r>
    </w:p>
    <w:p w:rsidR="00000000" w:rsidRPr="00E6241D" w:rsidP="00D450ED">
      <w:pPr>
        <w:pStyle w:val="BodyText"/>
      </w:pPr>
      <w:r w:rsidRPr="00E6241D">
        <w:t>Equivalent to MTMP2182C Operate hogger.</w:t>
      </w:r>
    </w:p>
    <w:p w:rsidR="00000000" w:rsidRPr="00E6241D" w:rsidP="00E6241D">
      <w:pPr>
        <w:pStyle w:val="Heading1"/>
      </w:pPr>
      <w:bookmarkStart w:id="9" w:name="O_900920"/>
      <w:bookmarkEnd w:id="9"/>
      <w:r w:rsidRPr="00E6241D">
        <w:t>Links</w:t>
      </w:r>
    </w:p>
    <w:p w:rsidR="00000000" w:rsidRPr="00E6241D" w:rsidP="00D450ED">
      <w:pPr>
        <w:pStyle w:val="BodyText"/>
      </w:pPr>
      <w:r w:rsidRPr="00E6241D">
        <w:t>Com</w:t>
      </w:r>
      <w:r w:rsidRPr="00E6241D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77E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6241D" w:rsidP="00D450ED">
      <w:pPr>
        <w:pStyle w:val="BodyText"/>
        <w:sectPr w:rsidSect="00E624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41D" w:rsidP="00E6241D">
      <w:pPr>
        <w:pStyle w:val="SuperHeading"/>
      </w:pPr>
      <w:r w:rsidRPr="00E6241D">
        <w:t>Assessment Requirements for AMPA2158 Operate hogger</w:t>
      </w:r>
    </w:p>
    <w:p w:rsidR="00000000" w:rsidRPr="00E6241D" w:rsidP="00E6241D">
      <w:pPr>
        <w:pStyle w:val="Heading1"/>
      </w:pPr>
      <w:bookmarkStart w:id="10" w:name="O_900915"/>
      <w:bookmarkEnd w:id="10"/>
      <w:r w:rsidRPr="00E62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2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TableHeading"/>
              <w:rPr>
                <w:lang w:val="en-NZ"/>
              </w:rPr>
            </w:pPr>
            <w:r w:rsidRPr="00E6241D">
              <w:t>Comment</w:t>
            </w:r>
          </w:p>
        </w:tc>
      </w:tr>
      <w:tr w:rsidTr="00E62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41D">
            <w:pPr>
              <w:pStyle w:val="BodyText"/>
              <w:rPr>
                <w:lang w:val="en-NZ"/>
              </w:rPr>
            </w:pPr>
            <w:r w:rsidRPr="00E624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41D" w:rsidP="00E6241D">
            <w:pPr>
              <w:pStyle w:val="BodyText"/>
            </w:pPr>
            <w:r w:rsidRPr="00E6241D">
              <w:t>Initial release</w:t>
            </w:r>
          </w:p>
        </w:tc>
      </w:tr>
    </w:tbl>
    <w:p w:rsidR="00000000" w:rsidRPr="00E6241D" w:rsidP="00E6241D">
      <w:pPr>
        <w:pStyle w:val="BodyText"/>
      </w:pPr>
    </w:p>
    <w:p w:rsidR="00000000" w:rsidRPr="00E6241D" w:rsidP="00E6241D">
      <w:pPr>
        <w:pStyle w:val="AllowPageBreak"/>
      </w:pPr>
    </w:p>
    <w:p w:rsidR="00000000" w:rsidRPr="00E6241D" w:rsidP="00E6241D">
      <w:pPr>
        <w:pStyle w:val="Heading1"/>
      </w:pPr>
      <w:bookmarkStart w:id="11" w:name="O_900916"/>
      <w:bookmarkEnd w:id="11"/>
      <w:r w:rsidRPr="00E6241D">
        <w:t>Performance Evidence</w:t>
      </w:r>
    </w:p>
    <w:p w:rsidR="00000000" w:rsidRPr="00E6241D" w:rsidP="00D450ED">
      <w:pPr>
        <w:pStyle w:val="BodyText"/>
      </w:pPr>
      <w:r w:rsidRPr="00E6241D">
        <w:t>The candidate must operate a hogger to transport raw materials for rendering operations.</w:t>
      </w:r>
    </w:p>
    <w:p w:rsidR="00000000" w:rsidRPr="00E6241D" w:rsidP="00D450ED">
      <w:pPr>
        <w:pStyle w:val="BodyText"/>
      </w:pPr>
      <w:r w:rsidRPr="00E6241D">
        <w:t xml:space="preserve">The candidate must: </w:t>
      </w:r>
    </w:p>
    <w:p w:rsidR="00000000" w:rsidRPr="00E6241D" w:rsidP="00E6241D">
      <w:pPr>
        <w:pStyle w:val="ListBullet"/>
      </w:pPr>
      <w:r w:rsidRPr="00E6241D">
        <w:t>to operate the hogger in accordance with manufacturer</w:t>
      </w:r>
      <w:r>
        <w:t>’</w:t>
      </w:r>
      <w:r w:rsidRPr="00E6241D">
        <w:t>s specifications and workplace requirements</w:t>
      </w:r>
    </w:p>
    <w:p w:rsidR="00000000" w:rsidRPr="00E6241D" w:rsidP="00E6241D">
      <w:pPr>
        <w:pStyle w:val="ListBullet"/>
      </w:pPr>
      <w:r w:rsidRPr="00E6241D">
        <w:t>follow work instructions for the operation of the hogger</w:t>
      </w:r>
    </w:p>
    <w:p w:rsidR="00000000" w:rsidRPr="00E6241D" w:rsidP="00E6241D">
      <w:pPr>
        <w:pStyle w:val="ListBullet"/>
      </w:pPr>
      <w:r w:rsidRPr="00E6241D">
        <w:t>monitor flow of waste</w:t>
      </w:r>
    </w:p>
    <w:p w:rsidR="00000000" w:rsidRPr="00E6241D" w:rsidP="00E6241D">
      <w:pPr>
        <w:pStyle w:val="ListBullet"/>
      </w:pPr>
      <w:r w:rsidRPr="00E6241D">
        <w:t>follow workplace health and safety requirements</w:t>
      </w:r>
    </w:p>
    <w:p w:rsidR="00000000" w:rsidRPr="00E6241D" w:rsidP="00E6241D">
      <w:pPr>
        <w:pStyle w:val="ListBullet"/>
      </w:pPr>
      <w:r w:rsidRPr="00E6241D">
        <w:t>keep area neat and tidy</w:t>
      </w:r>
    </w:p>
    <w:p w:rsidR="00000000" w:rsidRPr="00E6241D" w:rsidP="00E6241D">
      <w:pPr>
        <w:pStyle w:val="ListBullet"/>
      </w:pPr>
      <w:r w:rsidRPr="00E6241D">
        <w:t>monitor machinery gauges where fitted</w:t>
      </w:r>
    </w:p>
    <w:p w:rsidR="00000000" w:rsidRPr="00E6241D" w:rsidP="00E6241D">
      <w:pPr>
        <w:pStyle w:val="ListBullet"/>
      </w:pPr>
      <w:r w:rsidRPr="00E6241D">
        <w:t>undertake routine maintenance and cleaning as specified in work instructions</w:t>
      </w:r>
    </w:p>
    <w:p w:rsidR="00000000" w:rsidRPr="00E6241D" w:rsidP="00E6241D">
      <w:pPr>
        <w:pStyle w:val="ListBullet"/>
      </w:pPr>
      <w:r w:rsidRPr="00E6241D">
        <w:t>apply relevant regulatory requirements</w:t>
      </w:r>
    </w:p>
    <w:p w:rsidR="00000000" w:rsidRPr="00E6241D" w:rsidP="00E6241D">
      <w:pPr>
        <w:pStyle w:val="ListBullet"/>
      </w:pPr>
      <w:r w:rsidRPr="00E6241D">
        <w:t>use communication skills relevant to work instructions and Standard Operating Procedures (SOPs)</w:t>
      </w:r>
    </w:p>
    <w:p w:rsidR="00000000" w:rsidRPr="00E6241D" w:rsidP="00E6241D">
      <w:pPr>
        <w:pStyle w:val="AllowPageBreak"/>
      </w:pPr>
    </w:p>
    <w:p w:rsidR="00000000" w:rsidRPr="00E6241D" w:rsidP="00E6241D">
      <w:pPr>
        <w:pStyle w:val="Heading1"/>
      </w:pPr>
      <w:bookmarkStart w:id="12" w:name="O_900917"/>
      <w:bookmarkEnd w:id="12"/>
      <w:r w:rsidRPr="00E6241D">
        <w:t>Knowledge Evidence</w:t>
      </w:r>
    </w:p>
    <w:p w:rsidR="00000000" w:rsidRPr="00E6241D" w:rsidP="00D450ED">
      <w:pPr>
        <w:pStyle w:val="BodyText"/>
      </w:pPr>
      <w:r w:rsidRPr="00E6241D">
        <w:t xml:space="preserve">The candidate must demonstrate a basic factual, technical and procedural knowledge of: </w:t>
      </w:r>
    </w:p>
    <w:p w:rsidR="00000000" w:rsidRPr="00E6241D" w:rsidP="00E6241D">
      <w:pPr>
        <w:pStyle w:val="ListBullet"/>
      </w:pPr>
      <w:r w:rsidRPr="00E6241D">
        <w:t>how the hogger works</w:t>
      </w:r>
    </w:p>
    <w:p w:rsidR="00000000" w:rsidRPr="00E6241D" w:rsidP="00E6241D">
      <w:pPr>
        <w:pStyle w:val="ListBullet"/>
      </w:pPr>
      <w:r w:rsidRPr="00E6241D">
        <w:t>maintenance requirements related to the hogger</w:t>
      </w:r>
    </w:p>
    <w:p w:rsidR="00000000" w:rsidRPr="00E6241D" w:rsidP="00E6241D">
      <w:pPr>
        <w:pStyle w:val="ListBullet"/>
      </w:pPr>
      <w:r w:rsidRPr="00E6241D">
        <w:t>workplace health and safety requirements related to the hogger</w:t>
      </w:r>
    </w:p>
    <w:p w:rsidR="00000000" w:rsidRPr="00E6241D" w:rsidP="00E6241D">
      <w:pPr>
        <w:pStyle w:val="ListBullet"/>
      </w:pPr>
      <w:r w:rsidRPr="00E6241D">
        <w:t>report</w:t>
      </w:r>
      <w:r w:rsidRPr="00E6241D">
        <w:t>ing procedures for problems related to the hogger</w:t>
      </w:r>
    </w:p>
    <w:p w:rsidR="00000000" w:rsidRPr="00E6241D" w:rsidP="00E6241D">
      <w:pPr>
        <w:pStyle w:val="ListBullet"/>
      </w:pPr>
      <w:r w:rsidRPr="00E6241D">
        <w:t>flow requirements of the by-products processing plant</w:t>
      </w:r>
    </w:p>
    <w:p w:rsidR="00000000" w:rsidRPr="00E6241D" w:rsidP="00E6241D">
      <w:pPr>
        <w:pStyle w:val="ListBullet"/>
      </w:pPr>
      <w:r w:rsidRPr="00E6241D">
        <w:t>waste specifications</w:t>
      </w:r>
    </w:p>
    <w:p w:rsidR="00000000" w:rsidRPr="00E6241D" w:rsidP="00E6241D">
      <w:pPr>
        <w:pStyle w:val="ListBullet"/>
      </w:pPr>
      <w:r w:rsidRPr="00E6241D">
        <w:t>relevant regulatory requirements</w:t>
      </w:r>
    </w:p>
    <w:p w:rsidR="00000000" w:rsidRPr="00E6241D" w:rsidP="00E6241D">
      <w:pPr>
        <w:pStyle w:val="ListBullet"/>
      </w:pPr>
      <w:r w:rsidRPr="00E6241D">
        <w:t>disposal arrangements for condemned carcases</w:t>
      </w:r>
    </w:p>
    <w:p w:rsidR="00000000" w:rsidRPr="00E6241D" w:rsidP="00E6241D">
      <w:pPr>
        <w:pStyle w:val="ListBullet"/>
      </w:pPr>
      <w:r w:rsidRPr="00E6241D">
        <w:t>emergency switches and shut-down procedures</w:t>
      </w:r>
    </w:p>
    <w:p w:rsidR="00000000" w:rsidRPr="00E6241D" w:rsidP="00E6241D">
      <w:pPr>
        <w:pStyle w:val="AllowPageBreak"/>
      </w:pPr>
    </w:p>
    <w:p w:rsidR="00000000" w:rsidRPr="00E6241D" w:rsidP="00E6241D">
      <w:pPr>
        <w:pStyle w:val="Heading1"/>
      </w:pPr>
      <w:bookmarkStart w:id="13" w:name="O_900918"/>
      <w:bookmarkEnd w:id="13"/>
      <w:r w:rsidRPr="00E6241D">
        <w:t>Assessment Conditions</w:t>
      </w:r>
    </w:p>
    <w:p w:rsidR="00000000" w:rsidRPr="00E6241D" w:rsidP="00D450ED">
      <w:pPr>
        <w:pStyle w:val="BodyText"/>
      </w:pPr>
      <w:r w:rsidRPr="00E6241D">
        <w:t>Assessment must occur in the workplace under normal production conditions.</w:t>
      </w:r>
    </w:p>
    <w:p w:rsidR="00000000" w:rsidRPr="00E6241D" w:rsidP="00D450ED">
      <w:pPr>
        <w:pStyle w:val="BodyText"/>
      </w:pPr>
      <w:r w:rsidRPr="00E6241D">
        <w:t>Competency must be demonstrated at normal chain speed.</w:t>
      </w:r>
    </w:p>
    <w:p w:rsidR="00000000" w:rsidRPr="00E6241D" w:rsidP="00D450ED">
      <w:pPr>
        <w:pStyle w:val="BodyText"/>
      </w:pPr>
      <w:r w:rsidRPr="00E6241D">
        <w:t xml:space="preserve">As a minimum, the following three forms of assessment must be used: </w:t>
      </w:r>
    </w:p>
    <w:p w:rsidR="00000000" w:rsidRPr="00E6241D" w:rsidP="00E6241D">
      <w:pPr>
        <w:pStyle w:val="ListBullet"/>
      </w:pPr>
      <w:r w:rsidRPr="00E6241D">
        <w:t>quiz of underpinning kno</w:t>
      </w:r>
      <w:r w:rsidRPr="00E6241D">
        <w:t>wledge</w:t>
      </w:r>
    </w:p>
    <w:p w:rsidR="00000000" w:rsidRPr="00E6241D" w:rsidP="00E6241D">
      <w:pPr>
        <w:pStyle w:val="ListBullet"/>
      </w:pPr>
      <w:r w:rsidRPr="00E6241D">
        <w:t xml:space="preserve">workplace demonstration </w:t>
      </w:r>
    </w:p>
    <w:p w:rsidR="00000000" w:rsidRPr="00E6241D" w:rsidP="00E6241D">
      <w:pPr>
        <w:pStyle w:val="ListBullet"/>
      </w:pPr>
      <w:r w:rsidRPr="00E6241D">
        <w:t>workplace referee or third-party report of performance over time.</w:t>
      </w:r>
    </w:p>
    <w:p w:rsidR="00000000" w:rsidRPr="00E6241D" w:rsidP="00E6241D">
      <w:pPr>
        <w:pStyle w:val="BodyText"/>
      </w:pPr>
    </w:p>
    <w:p w:rsidR="00000000" w:rsidRPr="00E6241D" w:rsidP="00D450ED">
      <w:pPr>
        <w:pStyle w:val="BodyText"/>
      </w:pPr>
      <w:r w:rsidRPr="00E6241D">
        <w:t>Assessors must satisfy the current standards for RTOs.</w:t>
      </w:r>
    </w:p>
    <w:p w:rsidR="00000000" w:rsidRPr="00E6241D" w:rsidP="00E6241D">
      <w:pPr>
        <w:pStyle w:val="Heading1"/>
      </w:pPr>
      <w:bookmarkStart w:id="14" w:name="O_900921"/>
      <w:bookmarkEnd w:id="14"/>
      <w:r w:rsidRPr="00E6241D">
        <w:t>Links</w:t>
      </w:r>
    </w:p>
    <w:p w:rsidR="00000000" w:rsidRPr="00E6241D" w:rsidP="00D450ED">
      <w:pPr>
        <w:pStyle w:val="BodyText"/>
      </w:pPr>
      <w:r w:rsidRPr="00E624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77E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6241D" w:rsidP="00E6241D"/>
    <w:sectPr w:rsidSect="00E624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 w:rsidRPr="00D450ED" w:rsidP="00D45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ED" w:rsidP="00E62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0ED" w:rsidP="00E62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50ED" w:rsidP="00E624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 w:rsidP="00E62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0ED">
      <w:t>Approved</w:t>
    </w:r>
    <w:r w:rsidR="00D450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0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0ED">
      <w:rPr>
        <w:noProof/>
      </w:rPr>
      <w:t>4</w:t>
    </w:r>
    <w:r>
      <w:rPr>
        <w:noProof/>
      </w:rPr>
      <w:fldChar w:fldCharType="end"/>
    </w:r>
  </w:p>
  <w:p w:rsidR="00E6241D" w:rsidP="00E62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0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0ED">
      <w:t>Skills Insight</w:t>
    </w:r>
    <w:r w:rsidR="00D450ED">
      <w:fldChar w:fldCharType="end"/>
    </w:r>
  </w:p>
  <w:p w:rsidR="00E6241D" w:rsidP="00E62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41D" w:rsidRPr="00D450ED" w:rsidP="00D45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ED" w:rsidRPr="002D2AF8" w:rsidP="00E62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AMPA2158 Operate hogger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0ED" w:rsidP="00E624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1D" w:rsidRPr="002D2AF8" w:rsidP="00E62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0ED">
      <w:t>AMPA2158 Operate hogger</w:t>
    </w:r>
    <w:r w:rsidR="00D450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0ED">
      <w:rPr>
        <w:noProof/>
      </w:rPr>
      <w:t>2 March 2025</w:t>
    </w:r>
    <w:r>
      <w:fldChar w:fldCharType="end"/>
    </w:r>
  </w:p>
  <w:p w:rsidR="00E6241D" w:rsidP="00E62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C7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F66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41D"/>
  </w:style>
  <w:style w:type="character" w:customStyle="1" w:styleId="Heading1Char">
    <w:name w:val="Heading 1 Char"/>
    <w:basedOn w:val="DefaultParagraphFont"/>
    <w:link w:val="Heading1"/>
    <w:rsid w:val="00E62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4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2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24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2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41D"/>
    <w:rPr>
      <w:b/>
      <w:spacing w:val="0"/>
    </w:rPr>
  </w:style>
  <w:style w:type="paragraph" w:customStyle="1" w:styleId="SuperTitle">
    <w:name w:val="SuperTitle"/>
    <w:basedOn w:val="Title"/>
    <w:rsid w:val="00E62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41D"/>
    <w:rPr>
      <w:i/>
    </w:rPr>
  </w:style>
  <w:style w:type="paragraph" w:styleId="Caption">
    <w:name w:val="caption"/>
    <w:basedOn w:val="BodyText"/>
    <w:next w:val="Normal"/>
    <w:qFormat/>
    <w:rsid w:val="00E62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41D"/>
  </w:style>
  <w:style w:type="paragraph" w:styleId="TableofFigures">
    <w:name w:val="table of figures"/>
    <w:basedOn w:val="Normal"/>
    <w:next w:val="Normal"/>
    <w:semiHidden/>
    <w:rsid w:val="00E62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241D"/>
    <w:rPr>
      <w:rFonts w:ascii="Wingdings" w:hAnsi="Wingdings"/>
    </w:rPr>
  </w:style>
  <w:style w:type="character" w:customStyle="1" w:styleId="HotSpot">
    <w:name w:val="HotSpot"/>
    <w:rsid w:val="00E6241D"/>
    <w:rPr>
      <w:color w:val="0033CC"/>
      <w:u w:val="none"/>
    </w:rPr>
  </w:style>
  <w:style w:type="paragraph" w:customStyle="1" w:styleId="BodyTextRight">
    <w:name w:val="Body Text Right"/>
    <w:basedOn w:val="BodyText"/>
    <w:rsid w:val="00E62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41D"/>
    <w:rPr>
      <w:sz w:val="32"/>
    </w:rPr>
  </w:style>
  <w:style w:type="paragraph" w:customStyle="1" w:styleId="HeadingProcedure">
    <w:name w:val="Heading Procedure"/>
    <w:basedOn w:val="HeadingBase"/>
    <w:next w:val="Normal"/>
    <w:rsid w:val="00E62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41D"/>
    <w:pPr>
      <w:spacing w:before="60" w:after="60"/>
    </w:pPr>
  </w:style>
  <w:style w:type="paragraph" w:styleId="ListContinue">
    <w:name w:val="List Continue"/>
    <w:basedOn w:val="List"/>
    <w:rsid w:val="00E6241D"/>
    <w:pPr>
      <w:ind w:firstLine="0"/>
    </w:pPr>
  </w:style>
  <w:style w:type="paragraph" w:customStyle="1" w:styleId="ListNote">
    <w:name w:val="List Note"/>
    <w:basedOn w:val="List"/>
    <w:rsid w:val="00E62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41D"/>
    <w:rPr>
      <w:rFonts w:ascii="Courier New" w:hAnsi="Courier New"/>
    </w:rPr>
  </w:style>
  <w:style w:type="paragraph" w:customStyle="1" w:styleId="NoteBullet">
    <w:name w:val="Note Bullet"/>
    <w:basedOn w:val="Note"/>
    <w:rsid w:val="00E62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41D"/>
    <w:rPr>
      <w:b/>
      <w:smallCaps/>
    </w:rPr>
  </w:style>
  <w:style w:type="paragraph" w:customStyle="1" w:styleId="TableListNumber">
    <w:name w:val="Table List Number"/>
    <w:basedOn w:val="ListNumber"/>
    <w:rsid w:val="00E62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41D"/>
    <w:pPr>
      <w:numPr>
        <w:numId w:val="8"/>
      </w:numPr>
    </w:pPr>
  </w:style>
  <w:style w:type="paragraph" w:customStyle="1" w:styleId="ListAlpha2">
    <w:name w:val="List Alpha 2"/>
    <w:basedOn w:val="List2"/>
    <w:rsid w:val="00E6241D"/>
    <w:pPr>
      <w:numPr>
        <w:numId w:val="7"/>
      </w:numPr>
    </w:pPr>
  </w:style>
  <w:style w:type="paragraph" w:styleId="List2">
    <w:name w:val="List 2"/>
    <w:basedOn w:val="BodyText"/>
    <w:rsid w:val="00E62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41D"/>
    <w:pPr>
      <w:numPr>
        <w:numId w:val="3"/>
      </w:numPr>
    </w:pPr>
  </w:style>
  <w:style w:type="paragraph" w:styleId="ListContinue2">
    <w:name w:val="List Continue 2"/>
    <w:basedOn w:val="List2"/>
    <w:rsid w:val="00E6241D"/>
    <w:pPr>
      <w:ind w:firstLine="0"/>
    </w:pPr>
  </w:style>
  <w:style w:type="paragraph" w:styleId="ListContinue3">
    <w:name w:val="List Continue 3"/>
    <w:basedOn w:val="List3"/>
    <w:rsid w:val="00E6241D"/>
    <w:pPr>
      <w:ind w:left="1021" w:firstLine="0"/>
    </w:pPr>
  </w:style>
  <w:style w:type="paragraph" w:styleId="ListContinue4">
    <w:name w:val="List Continue 4"/>
    <w:basedOn w:val="List4"/>
    <w:rsid w:val="00E6241D"/>
    <w:pPr>
      <w:ind w:firstLine="0"/>
    </w:pPr>
  </w:style>
  <w:style w:type="paragraph" w:styleId="ListContinue5">
    <w:name w:val="List Continue 5"/>
    <w:basedOn w:val="List5"/>
    <w:rsid w:val="00E6241D"/>
    <w:pPr>
      <w:ind w:firstLine="0"/>
    </w:pPr>
  </w:style>
  <w:style w:type="paragraph" w:styleId="ListNumber3">
    <w:name w:val="List Number 3"/>
    <w:basedOn w:val="List3"/>
    <w:rsid w:val="00E6241D"/>
    <w:pPr>
      <w:numPr>
        <w:numId w:val="4"/>
      </w:numPr>
    </w:pPr>
  </w:style>
  <w:style w:type="paragraph" w:styleId="ListNumber4">
    <w:name w:val="List Number 4"/>
    <w:basedOn w:val="List4"/>
    <w:rsid w:val="00E6241D"/>
    <w:pPr>
      <w:numPr>
        <w:numId w:val="5"/>
      </w:numPr>
    </w:pPr>
  </w:style>
  <w:style w:type="paragraph" w:styleId="ListNumber5">
    <w:name w:val="List Number 5"/>
    <w:basedOn w:val="List5"/>
    <w:rsid w:val="00E6241D"/>
    <w:pPr>
      <w:numPr>
        <w:numId w:val="6"/>
      </w:numPr>
    </w:pPr>
  </w:style>
  <w:style w:type="paragraph" w:styleId="BlockText">
    <w:name w:val="Block Text"/>
    <w:basedOn w:val="Normal"/>
    <w:rsid w:val="00E62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41D"/>
    <w:rPr>
      <w:sz w:val="16"/>
      <w:vertAlign w:val="superscript"/>
    </w:rPr>
  </w:style>
  <w:style w:type="character" w:customStyle="1" w:styleId="Symbols">
    <w:name w:val="Symbols"/>
    <w:basedOn w:val="DefaultParagraphFont"/>
    <w:rsid w:val="00E6241D"/>
    <w:rPr>
      <w:rFonts w:ascii="Symbol" w:hAnsi="Symbol"/>
    </w:rPr>
  </w:style>
  <w:style w:type="character" w:customStyle="1" w:styleId="MenuOptions">
    <w:name w:val="Menu Options"/>
    <w:basedOn w:val="DefaultParagraphFont"/>
    <w:rsid w:val="00E62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41D"/>
    <w:rPr>
      <w:b/>
    </w:rPr>
  </w:style>
  <w:style w:type="character" w:customStyle="1" w:styleId="Underlined">
    <w:name w:val="Underlined"/>
    <w:basedOn w:val="DefaultParagraphFont"/>
    <w:rsid w:val="00E6241D"/>
    <w:rPr>
      <w:u w:val="single"/>
    </w:rPr>
  </w:style>
  <w:style w:type="paragraph" w:customStyle="1" w:styleId="TableBodyTextRight">
    <w:name w:val="Table Body Text Right"/>
    <w:basedOn w:val="TableBodyText"/>
    <w:rsid w:val="00E62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41D"/>
    <w:rPr>
      <w:sz w:val="18"/>
    </w:rPr>
  </w:style>
  <w:style w:type="paragraph" w:customStyle="1" w:styleId="BodySmallRight">
    <w:name w:val="Body Small Right"/>
    <w:basedOn w:val="BodyTextRight"/>
    <w:rsid w:val="00E6241D"/>
    <w:rPr>
      <w:sz w:val="18"/>
      <w:szCs w:val="18"/>
    </w:rPr>
  </w:style>
  <w:style w:type="paragraph" w:customStyle="1" w:styleId="MarginEdition">
    <w:name w:val="Margin Edition"/>
    <w:basedOn w:val="MarginNote"/>
    <w:rsid w:val="00E62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41D"/>
    <w:rPr>
      <w:sz w:val="2"/>
      <w:szCs w:val="2"/>
    </w:rPr>
  </w:style>
  <w:style w:type="character" w:customStyle="1" w:styleId="Small">
    <w:name w:val="Small"/>
    <w:basedOn w:val="DefaultParagraphFont"/>
    <w:rsid w:val="00E6241D"/>
    <w:rPr>
      <w:sz w:val="16"/>
    </w:rPr>
  </w:style>
  <w:style w:type="paragraph" w:customStyle="1" w:styleId="WideTable">
    <w:name w:val="Wide Table"/>
    <w:basedOn w:val="Normal"/>
    <w:rsid w:val="00E62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41D"/>
  </w:style>
  <w:style w:type="paragraph" w:styleId="Quote">
    <w:name w:val="Quote"/>
    <w:basedOn w:val="Heading1"/>
    <w:link w:val="QuoteChar"/>
    <w:qFormat/>
    <w:rsid w:val="00E62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41D"/>
    <w:pPr>
      <w:pageBreakBefore/>
    </w:pPr>
  </w:style>
  <w:style w:type="paragraph" w:customStyle="1" w:styleId="Border">
    <w:name w:val="Border"/>
    <w:basedOn w:val="Normal"/>
    <w:qFormat/>
    <w:rsid w:val="00E62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41D"/>
    <w:rPr>
      <w:u w:val="single"/>
    </w:rPr>
  </w:style>
  <w:style w:type="character" w:customStyle="1" w:styleId="BoldandItalics">
    <w:name w:val="Bold and Italics"/>
    <w:qFormat/>
    <w:rsid w:val="00E6241D"/>
    <w:rPr>
      <w:b/>
      <w:i/>
      <w:u w:val="none"/>
    </w:rPr>
  </w:style>
  <w:style w:type="paragraph" w:styleId="BalloonText">
    <w:name w:val="Balloon Text"/>
    <w:basedOn w:val="Normal"/>
    <w:link w:val="BalloonTextChar"/>
    <w:rsid w:val="00E62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41D"/>
    <w:pPr>
      <w:spacing w:before="0" w:after="0"/>
    </w:pPr>
  </w:style>
  <w:style w:type="paragraph" w:customStyle="1" w:styleId="BodyTextBold">
    <w:name w:val="Body Text Bold"/>
    <w:basedOn w:val="BodyText"/>
    <w:qFormat/>
    <w:rsid w:val="00E6241D"/>
    <w:rPr>
      <w:b/>
    </w:rPr>
  </w:style>
  <w:style w:type="character" w:styleId="Hyperlink">
    <w:name w:val="Hyperlink"/>
    <w:basedOn w:val="DefaultParagraphFont"/>
    <w:uiPriority w:val="99"/>
    <w:unhideWhenUsed/>
    <w:rsid w:val="00D45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4341</Characters>
  <Application>Microsoft Office Word</Application>
  <DocSecurity>0</DocSecurity>
  <Lines>160</Lines>
  <Paragraphs>111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AMPA2158 Operate hogger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