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2E1D" w:rsidP="00942E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AMPA2151 Eviscerate condemned carcase</w:t>
      </w:r>
      <w:r>
        <w:fldChar w:fldCharType="end"/>
      </w:r>
    </w:p>
    <w:p w:rsidR="00942E1D" w:rsidP="00942E1D">
      <w:pPr>
        <w:pStyle w:val="Version"/>
        <w:sectPr w:rsidSect="00BD5D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5DF9" w:rsidP="00BD5DF9">
      <w:pPr>
        <w:pStyle w:val="SuperHeading"/>
      </w:pPr>
      <w:r w:rsidRPr="00BD5DF9">
        <w:t>AMPA2151 Eviscerate condemned carcase</w:t>
      </w:r>
    </w:p>
    <w:p w:rsidR="00000000" w:rsidRPr="00BD5DF9" w:rsidP="00BD5DF9">
      <w:pPr>
        <w:pStyle w:val="Heading1"/>
      </w:pPr>
      <w:bookmarkStart w:id="1" w:name="O_900411"/>
      <w:bookmarkEnd w:id="1"/>
      <w:r w:rsidRPr="00BD5D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D5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F9">
            <w:pPr>
              <w:pStyle w:val="TableHeading"/>
              <w:rPr>
                <w:lang w:val="en-NZ"/>
              </w:rPr>
            </w:pPr>
            <w:r w:rsidRPr="00BD5DF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F9">
            <w:pPr>
              <w:pStyle w:val="TableHeading"/>
              <w:rPr>
                <w:lang w:val="en-NZ"/>
              </w:rPr>
            </w:pPr>
            <w:r w:rsidRPr="00BD5DF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F9">
            <w:pPr>
              <w:pStyle w:val="TableHeading"/>
              <w:rPr>
                <w:lang w:val="en-NZ"/>
              </w:rPr>
            </w:pPr>
            <w:r w:rsidRPr="00BD5DF9">
              <w:t>Comment</w:t>
            </w:r>
          </w:p>
        </w:tc>
      </w:tr>
      <w:tr w:rsidTr="00BD5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F9">
            <w:pPr>
              <w:pStyle w:val="BodyText"/>
              <w:rPr>
                <w:lang w:val="en-NZ"/>
              </w:rPr>
            </w:pPr>
            <w:r w:rsidRPr="00BD5DF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F9">
            <w:pPr>
              <w:pStyle w:val="BodyText"/>
              <w:rPr>
                <w:lang w:val="en-NZ"/>
              </w:rPr>
            </w:pPr>
            <w:r w:rsidRPr="00BD5DF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DF9" w:rsidP="00BD5DF9">
            <w:pPr>
              <w:pStyle w:val="BodyText"/>
            </w:pPr>
            <w:r w:rsidRPr="00BD5DF9">
              <w:t>Initial release</w:t>
            </w:r>
          </w:p>
        </w:tc>
      </w:tr>
    </w:tbl>
    <w:p w:rsidR="00000000" w:rsidRPr="00BD5DF9" w:rsidP="00BD5DF9">
      <w:pPr>
        <w:pStyle w:val="BodyText"/>
      </w:pPr>
    </w:p>
    <w:p w:rsidR="00000000" w:rsidRPr="00BD5DF9" w:rsidP="00BD5DF9">
      <w:pPr>
        <w:pStyle w:val="AllowPageBreak"/>
      </w:pPr>
    </w:p>
    <w:p w:rsidR="00000000" w:rsidRPr="00BD5DF9" w:rsidP="00BD5DF9">
      <w:pPr>
        <w:pStyle w:val="Heading1"/>
      </w:pPr>
      <w:bookmarkStart w:id="2" w:name="O_900412"/>
      <w:bookmarkEnd w:id="2"/>
      <w:r w:rsidRPr="00BD5DF9">
        <w:t>Application</w:t>
      </w:r>
    </w:p>
    <w:p w:rsidR="00000000" w:rsidRPr="00BD5DF9" w:rsidP="00942E1D">
      <w:pPr>
        <w:pStyle w:val="BodyText"/>
      </w:pPr>
      <w:r w:rsidRPr="00BD5DF9">
        <w:t>This unit describes the skills and knowledge required to eviscerate a condemned carcase and dispose of the viscera correctly.</w:t>
      </w:r>
    </w:p>
    <w:p w:rsidR="00000000" w:rsidRPr="00BD5DF9" w:rsidP="00942E1D">
      <w:pPr>
        <w:pStyle w:val="BodyText"/>
      </w:pPr>
      <w:r w:rsidRPr="00BD5DF9">
        <w:t>This unit is applicable to workers in abattoirs, knackeries and game processing establishments.</w:t>
      </w:r>
    </w:p>
    <w:p w:rsidR="00000000" w:rsidRPr="00BD5DF9" w:rsidP="00942E1D">
      <w:pPr>
        <w:pStyle w:val="BodyText"/>
      </w:pPr>
      <w:r w:rsidRPr="00BD5DF9">
        <w:t xml:space="preserve">All work should be carried out to comply with workplace and hygiene requirements. </w:t>
      </w:r>
    </w:p>
    <w:p w:rsidR="00000000" w:rsidRPr="00BD5DF9" w:rsidP="00942E1D">
      <w:pPr>
        <w:pStyle w:val="BodyText"/>
      </w:pPr>
      <w:r w:rsidRPr="00BD5DF9">
        <w:t>This unit applies to individuals who work under general supervision, exerci</w:t>
      </w:r>
      <w:r w:rsidRPr="00BD5DF9">
        <w:t>se limited autonomy and have some accountability for their own work.</w:t>
      </w:r>
    </w:p>
    <w:p w:rsidR="00000000" w:rsidRPr="00BD5DF9" w:rsidP="00942E1D">
      <w:pPr>
        <w:pStyle w:val="BodyText"/>
      </w:pPr>
      <w:r w:rsidRPr="00BD5DF9">
        <w:t>No occupational licensing, legislative or certification requirements are known to apply to this unit at the time of publication.</w:t>
      </w:r>
    </w:p>
    <w:p w:rsidR="00000000" w:rsidRPr="00BD5DF9" w:rsidP="00942E1D">
      <w:pPr>
        <w:pStyle w:val="BodyText"/>
      </w:pPr>
      <w:r w:rsidRPr="00BD5DF9">
        <w:t xml:space="preserve">This unit must be delivered and assessed in the context </w:t>
      </w:r>
      <w:r w:rsidRPr="00BD5DF9">
        <w:t>of Australian meat processing standards and regulations.</w:t>
      </w:r>
    </w:p>
    <w:p w:rsidR="00000000" w:rsidRPr="00BD5DF9" w:rsidP="00BD5DF9">
      <w:pPr>
        <w:pStyle w:val="Heading1"/>
      </w:pPr>
      <w:bookmarkStart w:id="3" w:name="O_900413"/>
      <w:bookmarkEnd w:id="3"/>
      <w:r w:rsidRPr="00BD5DF9">
        <w:t>Pre-requisite Unit</w:t>
      </w:r>
    </w:p>
    <w:p w:rsidR="00000000" w:rsidRPr="00BD5DF9" w:rsidP="00942E1D">
      <w:pPr>
        <w:pStyle w:val="BodyText"/>
      </w:pPr>
      <w:r w:rsidRPr="00BD5DF9">
        <w:t xml:space="preserve">AMPX209 Sharpen knives </w:t>
      </w:r>
    </w:p>
    <w:p w:rsidR="00000000" w:rsidRPr="00BD5DF9" w:rsidP="00BD5DF9">
      <w:pPr>
        <w:pStyle w:val="Heading1"/>
      </w:pPr>
      <w:bookmarkStart w:id="4" w:name="O_900415"/>
      <w:bookmarkEnd w:id="4"/>
      <w:r w:rsidRPr="00BD5DF9">
        <w:t>Unit Sector</w:t>
      </w:r>
    </w:p>
    <w:p w:rsidR="00000000" w:rsidRPr="00BD5DF9" w:rsidP="00BD5DF9">
      <w:pPr>
        <w:pStyle w:val="Heading1"/>
      </w:pPr>
      <w:bookmarkStart w:id="5" w:name="O_900416"/>
      <w:bookmarkEnd w:id="5"/>
      <w:r w:rsidRPr="00BD5DF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42E1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F9">
            <w:pPr>
              <w:pStyle w:val="TableHeading"/>
              <w:rPr>
                <w:lang w:val="en-NZ"/>
              </w:rPr>
            </w:pPr>
            <w:r w:rsidRPr="00BD5DF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F9">
            <w:pPr>
              <w:pStyle w:val="TableHeading"/>
              <w:rPr>
                <w:lang w:val="en-NZ"/>
              </w:rPr>
            </w:pPr>
            <w:r w:rsidRPr="00BD5DF9">
              <w:t>Performance criteria</w:t>
            </w:r>
          </w:p>
        </w:tc>
      </w:tr>
      <w:tr w:rsidTr="00942E1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F9">
            <w:pPr>
              <w:pStyle w:val="BodyText"/>
              <w:rPr>
                <w:lang w:val="en-NZ"/>
              </w:rPr>
            </w:pPr>
            <w:r w:rsidRPr="00BD5DF9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F9">
            <w:pPr>
              <w:pStyle w:val="BodyText"/>
              <w:rPr>
                <w:lang w:val="en-NZ"/>
              </w:rPr>
            </w:pPr>
            <w:r w:rsidRPr="00BD5DF9">
              <w:t>Performance criteria describe the performance needed to demonstrate achievement of the element.</w:t>
            </w:r>
          </w:p>
        </w:tc>
      </w:tr>
      <w:tr w:rsidTr="00942E1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F9">
            <w:pPr>
              <w:pStyle w:val="List"/>
              <w:rPr>
                <w:lang w:val="en-NZ"/>
              </w:rPr>
            </w:pPr>
            <w:r w:rsidRPr="00BD5DF9">
              <w:t>1.</w:t>
            </w:r>
            <w:r w:rsidRPr="00BD5DF9">
              <w:tab/>
              <w:t>Eviscerate condemned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DF9" w:rsidP="00BD5DF9">
            <w:pPr>
              <w:pStyle w:val="List"/>
            </w:pPr>
            <w:r w:rsidRPr="00BD5DF9">
              <w:t>1.1</w:t>
            </w:r>
            <w:r w:rsidRPr="00BD5DF9">
              <w:tab/>
              <w:t>Eviscerate carcase in accordance with workplace and regulatory requirements</w:t>
            </w:r>
          </w:p>
          <w:p w:rsidR="00000000" w:rsidRPr="00BD5DF9" w:rsidP="00BD5DF9">
            <w:pPr>
              <w:pStyle w:val="List"/>
            </w:pPr>
            <w:r w:rsidRPr="00BD5DF9">
              <w:t>1.2</w:t>
            </w:r>
            <w:r w:rsidRPr="00BD5DF9">
              <w:tab/>
              <w:t>E</w:t>
            </w:r>
            <w:r w:rsidRPr="00BD5DF9">
              <w:t>viscerate carcase in accordance with workplace health and safety requirements</w:t>
            </w:r>
          </w:p>
          <w:p w:rsidR="00000000" w:rsidRPr="00BD5DF9" w:rsidP="00BD5DF9">
            <w:pPr>
              <w:pStyle w:val="List"/>
            </w:pPr>
            <w:r w:rsidRPr="00BD5DF9">
              <w:t>1.3</w:t>
            </w:r>
            <w:r w:rsidRPr="00BD5DF9">
              <w:tab/>
              <w:t>Dispose of viscera in accordance with work instructions and regulatory requirements</w:t>
            </w:r>
          </w:p>
        </w:tc>
      </w:tr>
    </w:tbl>
    <w:p w:rsidR="00000000" w:rsidRPr="00BD5DF9" w:rsidP="00BD5DF9">
      <w:pPr>
        <w:pStyle w:val="BodyText"/>
      </w:pPr>
    </w:p>
    <w:p w:rsidR="00000000" w:rsidRPr="00BD5DF9" w:rsidP="00BD5DF9">
      <w:pPr>
        <w:pStyle w:val="AllowPageBreak"/>
      </w:pPr>
    </w:p>
    <w:p w:rsidR="00000000" w:rsidRPr="00BD5DF9" w:rsidP="00BD5DF9">
      <w:pPr>
        <w:pStyle w:val="Heading1"/>
      </w:pPr>
      <w:bookmarkStart w:id="6" w:name="O_900417"/>
      <w:bookmarkEnd w:id="6"/>
      <w:r w:rsidRPr="00BD5DF9">
        <w:t>Foundation Skills</w:t>
      </w:r>
    </w:p>
    <w:p w:rsidR="00000000" w:rsidRPr="00BD5DF9" w:rsidP="00942E1D">
      <w:pPr>
        <w:pStyle w:val="BodyText"/>
      </w:pPr>
      <w:r w:rsidRPr="00BD5DF9">
        <w:t>Foundation Skills es</w:t>
      </w:r>
      <w:r w:rsidRPr="00BD5DF9">
        <w:t>sential to performance are explicit in the performance criteria of this unit of competency.</w:t>
      </w:r>
    </w:p>
    <w:p w:rsidR="00000000" w:rsidRPr="00BD5DF9" w:rsidP="00BD5DF9">
      <w:pPr>
        <w:pStyle w:val="Heading1"/>
      </w:pPr>
      <w:bookmarkStart w:id="7" w:name="O_900418"/>
      <w:bookmarkEnd w:id="7"/>
      <w:r w:rsidRPr="00BD5DF9">
        <w:t>Range of Conditions</w:t>
      </w:r>
    </w:p>
    <w:p w:rsidR="00000000" w:rsidRPr="00BD5DF9" w:rsidP="00BD5DF9">
      <w:pPr>
        <w:pStyle w:val="Heading1"/>
      </w:pPr>
      <w:bookmarkStart w:id="8" w:name="O_900419"/>
      <w:bookmarkEnd w:id="8"/>
      <w:r w:rsidRPr="00BD5DF9">
        <w:t>Unit Mapping Information</w:t>
      </w:r>
    </w:p>
    <w:p w:rsidR="00000000" w:rsidRPr="00BD5DF9" w:rsidP="00942E1D">
      <w:pPr>
        <w:pStyle w:val="BodyText"/>
      </w:pPr>
      <w:r w:rsidRPr="00BD5DF9">
        <w:t>Equivalent to MTMP2173C Eviscerate condemned carcase.</w:t>
      </w:r>
    </w:p>
    <w:p w:rsidR="00000000" w:rsidRPr="00BD5DF9" w:rsidP="00BD5DF9">
      <w:pPr>
        <w:pStyle w:val="Heading1"/>
      </w:pPr>
      <w:bookmarkStart w:id="9" w:name="O_900426"/>
      <w:bookmarkEnd w:id="9"/>
      <w:r w:rsidRPr="00BD5DF9">
        <w:t>Links</w:t>
      </w:r>
    </w:p>
    <w:p w:rsidR="00000000" w:rsidRPr="00BD5DF9" w:rsidP="00942E1D">
      <w:pPr>
        <w:pStyle w:val="BodyText"/>
      </w:pPr>
      <w:r w:rsidRPr="00BD5DF9">
        <w:t>Companion</w:t>
      </w:r>
      <w:r w:rsidRPr="00BD5DF9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747B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D5DF9" w:rsidP="00942E1D">
      <w:pPr>
        <w:pStyle w:val="BodyText"/>
        <w:sectPr w:rsidSect="00BD5D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5DF9" w:rsidP="00BD5DF9">
      <w:pPr>
        <w:pStyle w:val="SuperHeading"/>
      </w:pPr>
      <w:r w:rsidRPr="00BD5DF9">
        <w:t>Assessment Requirements for AMPA2151 Eviscerate condemned carcase</w:t>
      </w:r>
    </w:p>
    <w:p w:rsidR="00000000" w:rsidRPr="00BD5DF9" w:rsidP="00BD5DF9">
      <w:pPr>
        <w:pStyle w:val="Heading1"/>
      </w:pPr>
      <w:bookmarkStart w:id="10" w:name="O_900421"/>
      <w:bookmarkEnd w:id="10"/>
      <w:r w:rsidRPr="00BD5D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D5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F9">
            <w:pPr>
              <w:pStyle w:val="TableHeading"/>
              <w:rPr>
                <w:lang w:val="en-NZ"/>
              </w:rPr>
            </w:pPr>
            <w:r w:rsidRPr="00BD5DF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F9">
            <w:pPr>
              <w:pStyle w:val="TableHeading"/>
              <w:rPr>
                <w:lang w:val="en-NZ"/>
              </w:rPr>
            </w:pPr>
            <w:r w:rsidRPr="00BD5DF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F9">
            <w:pPr>
              <w:pStyle w:val="TableHeading"/>
              <w:rPr>
                <w:lang w:val="en-NZ"/>
              </w:rPr>
            </w:pPr>
            <w:r w:rsidRPr="00BD5DF9">
              <w:t>Comment</w:t>
            </w:r>
          </w:p>
        </w:tc>
      </w:tr>
      <w:tr w:rsidTr="00BD5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F9">
            <w:pPr>
              <w:pStyle w:val="BodyText"/>
              <w:rPr>
                <w:lang w:val="en-NZ"/>
              </w:rPr>
            </w:pPr>
            <w:r w:rsidRPr="00BD5DF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F9">
            <w:pPr>
              <w:pStyle w:val="BodyText"/>
              <w:rPr>
                <w:lang w:val="en-NZ"/>
              </w:rPr>
            </w:pPr>
            <w:r w:rsidRPr="00BD5DF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DF9" w:rsidP="00BD5DF9">
            <w:pPr>
              <w:pStyle w:val="BodyText"/>
            </w:pPr>
            <w:r w:rsidRPr="00BD5DF9">
              <w:t>Initial release</w:t>
            </w:r>
          </w:p>
        </w:tc>
      </w:tr>
    </w:tbl>
    <w:p w:rsidR="00000000" w:rsidRPr="00BD5DF9" w:rsidP="00BD5DF9">
      <w:pPr>
        <w:pStyle w:val="BodyText"/>
      </w:pPr>
    </w:p>
    <w:p w:rsidR="00000000" w:rsidRPr="00BD5DF9" w:rsidP="00BD5DF9">
      <w:pPr>
        <w:pStyle w:val="AllowPageBreak"/>
      </w:pPr>
    </w:p>
    <w:p w:rsidR="00000000" w:rsidRPr="00BD5DF9" w:rsidP="00BD5DF9">
      <w:pPr>
        <w:pStyle w:val="Heading1"/>
      </w:pPr>
      <w:bookmarkStart w:id="11" w:name="O_900422"/>
      <w:bookmarkEnd w:id="11"/>
      <w:r w:rsidRPr="00BD5DF9">
        <w:t>Performance Evidence</w:t>
      </w:r>
    </w:p>
    <w:p w:rsidR="00000000" w:rsidRPr="00BD5DF9" w:rsidP="00942E1D">
      <w:pPr>
        <w:pStyle w:val="BodyText"/>
      </w:pPr>
      <w:r w:rsidRPr="00BD5DF9">
        <w:t>The candidate must eviscerate a condemned carcase and dispose of the viscera correctly.</w:t>
      </w:r>
    </w:p>
    <w:p w:rsidR="00000000" w:rsidRPr="00BD5DF9" w:rsidP="00942E1D">
      <w:pPr>
        <w:pStyle w:val="BodyText"/>
      </w:pPr>
      <w:r w:rsidRPr="00BD5DF9">
        <w:t xml:space="preserve">The candidate must: </w:t>
      </w:r>
    </w:p>
    <w:p w:rsidR="00000000" w:rsidRPr="00BD5DF9" w:rsidP="00BD5DF9">
      <w:pPr>
        <w:pStyle w:val="ListBullet"/>
      </w:pPr>
      <w:r w:rsidRPr="00BD5DF9">
        <w:t>eviscerate condemned carcase in accordance with regulatory, workplace and health and safety requirements</w:t>
      </w:r>
    </w:p>
    <w:p w:rsidR="00000000" w:rsidRPr="00BD5DF9" w:rsidP="00BD5DF9">
      <w:pPr>
        <w:pStyle w:val="AllowPageBreak"/>
      </w:pPr>
    </w:p>
    <w:p w:rsidR="00000000" w:rsidRPr="00BD5DF9" w:rsidP="00BD5DF9">
      <w:pPr>
        <w:pStyle w:val="Heading1"/>
      </w:pPr>
      <w:bookmarkStart w:id="12" w:name="O_900423"/>
      <w:bookmarkEnd w:id="12"/>
      <w:r w:rsidRPr="00BD5DF9">
        <w:t>Knowledge Evidence</w:t>
      </w:r>
    </w:p>
    <w:p w:rsidR="00000000" w:rsidRPr="00BD5DF9" w:rsidP="00942E1D">
      <w:pPr>
        <w:pStyle w:val="BodyText"/>
      </w:pPr>
      <w:r w:rsidRPr="00BD5DF9">
        <w:t xml:space="preserve">The candidate must demonstrate a basic factual, technical and procedural knowledge of: </w:t>
      </w:r>
    </w:p>
    <w:p w:rsidR="00000000" w:rsidRPr="00BD5DF9" w:rsidP="00BD5DF9">
      <w:pPr>
        <w:pStyle w:val="ListBullet"/>
      </w:pPr>
      <w:r w:rsidRPr="00BD5DF9">
        <w:t>workplace health and safet</w:t>
      </w:r>
      <w:r w:rsidRPr="00BD5DF9">
        <w:t>y requirements related to eviscerating a condemned carcase</w:t>
      </w:r>
    </w:p>
    <w:p w:rsidR="00000000" w:rsidRPr="00BD5DF9" w:rsidP="00BD5DF9">
      <w:pPr>
        <w:pStyle w:val="ListBullet"/>
      </w:pPr>
      <w:r w:rsidRPr="00BD5DF9">
        <w:t>workplace health and safety risks related to eviscerating a condemned carcase</w:t>
      </w:r>
    </w:p>
    <w:p w:rsidR="00000000" w:rsidRPr="00BD5DF9" w:rsidP="00BD5DF9">
      <w:pPr>
        <w:pStyle w:val="ListBullet"/>
      </w:pPr>
      <w:r w:rsidRPr="00BD5DF9">
        <w:t>workplace requirements related to eviscerating a carcase</w:t>
      </w:r>
    </w:p>
    <w:p w:rsidR="00000000" w:rsidRPr="00BD5DF9" w:rsidP="00BD5DF9">
      <w:pPr>
        <w:pStyle w:val="AllowPageBreak"/>
      </w:pPr>
    </w:p>
    <w:p w:rsidR="00000000" w:rsidRPr="00BD5DF9" w:rsidP="00BD5DF9">
      <w:pPr>
        <w:pStyle w:val="Heading1"/>
      </w:pPr>
      <w:bookmarkStart w:id="13" w:name="O_900424"/>
      <w:bookmarkEnd w:id="13"/>
      <w:r w:rsidRPr="00BD5DF9">
        <w:t>Assessment Conditions</w:t>
      </w:r>
    </w:p>
    <w:p w:rsidR="00000000" w:rsidRPr="00BD5DF9" w:rsidP="00942E1D">
      <w:pPr>
        <w:pStyle w:val="BodyText"/>
      </w:pPr>
      <w:r w:rsidRPr="00BD5DF9">
        <w:t>Assessment must be cond</w:t>
      </w:r>
      <w:r w:rsidRPr="00BD5DF9">
        <w:t>ucted at an operating processing plant.</w:t>
      </w:r>
    </w:p>
    <w:p w:rsidR="00000000" w:rsidRPr="00BD5DF9" w:rsidP="00942E1D">
      <w:pPr>
        <w:pStyle w:val="BodyText"/>
      </w:pPr>
      <w:r w:rsidRPr="00BD5DF9">
        <w:t>Competency must be demonstrated at a pace that meets company requirements.</w:t>
      </w:r>
    </w:p>
    <w:p w:rsidR="00000000" w:rsidRPr="00BD5DF9" w:rsidP="00942E1D">
      <w:pPr>
        <w:pStyle w:val="BodyText"/>
      </w:pPr>
      <w:r w:rsidRPr="00BD5DF9">
        <w:t xml:space="preserve">As a minimum, the following three forms of assessment must be used: </w:t>
      </w:r>
    </w:p>
    <w:p w:rsidR="00000000" w:rsidRPr="00BD5DF9" w:rsidP="00BD5DF9">
      <w:pPr>
        <w:pStyle w:val="ListBullet"/>
      </w:pPr>
      <w:r w:rsidRPr="00BD5DF9">
        <w:t>quiz of underpinning knowledge</w:t>
      </w:r>
    </w:p>
    <w:p w:rsidR="00000000" w:rsidRPr="00BD5DF9" w:rsidP="00BD5DF9">
      <w:pPr>
        <w:pStyle w:val="ListBullet"/>
      </w:pPr>
      <w:r w:rsidRPr="00BD5DF9">
        <w:t xml:space="preserve">workplace demonstration </w:t>
      </w:r>
    </w:p>
    <w:p w:rsidR="00000000" w:rsidRPr="00BD5DF9" w:rsidP="00BD5DF9">
      <w:pPr>
        <w:pStyle w:val="ListBullet"/>
      </w:pPr>
      <w:r w:rsidRPr="00BD5DF9">
        <w:t>workplace ref</w:t>
      </w:r>
      <w:r w:rsidRPr="00BD5DF9">
        <w:t>eree or third-party report of performance over time</w:t>
      </w:r>
    </w:p>
    <w:p w:rsidR="00000000" w:rsidRPr="00BD5DF9" w:rsidP="00BD5DF9">
      <w:pPr>
        <w:pStyle w:val="BodyText"/>
      </w:pPr>
    </w:p>
    <w:p w:rsidR="00000000" w:rsidRPr="00BD5DF9" w:rsidP="00942E1D">
      <w:pPr>
        <w:pStyle w:val="BodyText"/>
      </w:pPr>
      <w:r w:rsidRPr="00BD5DF9">
        <w:t>Assessors must satisfy the current standards for RTOs.</w:t>
      </w:r>
    </w:p>
    <w:p w:rsidR="00000000" w:rsidRPr="00BD5DF9" w:rsidP="00BD5DF9">
      <w:pPr>
        <w:pStyle w:val="Heading1"/>
      </w:pPr>
      <w:bookmarkStart w:id="14" w:name="O_900427"/>
      <w:bookmarkEnd w:id="14"/>
      <w:r w:rsidRPr="00BD5DF9">
        <w:t>Links</w:t>
      </w:r>
    </w:p>
    <w:p w:rsidR="00000000" w:rsidRPr="00BD5DF9" w:rsidP="00942E1D">
      <w:pPr>
        <w:pStyle w:val="BodyText"/>
      </w:pPr>
      <w:r w:rsidRPr="00BD5D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747B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D5DF9" w:rsidP="00BD5DF9"/>
    <w:sectPr w:rsidSect="00BD5D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F9" w:rsidRPr="00942E1D" w:rsidP="00942E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E1D" w:rsidP="00BD5D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2E1D" w:rsidP="00BD5D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42E1D" w:rsidP="00BD5D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F9" w:rsidP="00BD5D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42E1D">
      <w:t>Approved</w:t>
    </w:r>
    <w:r w:rsidR="00942E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42E1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42E1D">
      <w:rPr>
        <w:noProof/>
      </w:rPr>
      <w:t>4</w:t>
    </w:r>
    <w:r>
      <w:rPr>
        <w:noProof/>
      </w:rPr>
      <w:fldChar w:fldCharType="end"/>
    </w:r>
  </w:p>
  <w:p w:rsidR="00BD5DF9" w:rsidP="00BD5D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42E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42E1D">
      <w:t>Skills Insight</w:t>
    </w:r>
    <w:r w:rsidR="00942E1D">
      <w:fldChar w:fldCharType="end"/>
    </w:r>
  </w:p>
  <w:p w:rsidR="00BD5DF9" w:rsidP="00BD5D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E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5DF9" w:rsidRPr="00942E1D" w:rsidP="00942E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E1D" w:rsidRPr="002D2AF8" w:rsidP="00BD5D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AMPA2151 Eviscerate condemned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42E1D" w:rsidP="00BD5D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F9" w:rsidRPr="002D2AF8" w:rsidP="00BD5D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42E1D">
      <w:t>AMPA2151 Eviscerate condemned carcase</w:t>
    </w:r>
    <w:r w:rsidR="00942E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42E1D">
      <w:rPr>
        <w:noProof/>
      </w:rPr>
      <w:t>2 March 2025</w:t>
    </w:r>
    <w:r>
      <w:fldChar w:fldCharType="end"/>
    </w:r>
  </w:p>
  <w:p w:rsidR="00BD5DF9" w:rsidP="00BD5D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6EB5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72D8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D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5D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5D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5D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5D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5D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5D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5D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5D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5D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5D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5DF9"/>
  </w:style>
  <w:style w:type="character" w:customStyle="1" w:styleId="Heading1Char">
    <w:name w:val="Heading 1 Char"/>
    <w:basedOn w:val="DefaultParagraphFont"/>
    <w:link w:val="Heading1"/>
    <w:rsid w:val="00BD5D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5D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5DF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D5D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5DF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D5D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D5DF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D5D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5D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5D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5D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5D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5D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5D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5D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5D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5D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5D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5D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5D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5D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5D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5D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5D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5D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5DF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D5D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5DF9"/>
    <w:rPr>
      <w:b/>
      <w:spacing w:val="0"/>
    </w:rPr>
  </w:style>
  <w:style w:type="paragraph" w:customStyle="1" w:styleId="SuperTitle">
    <w:name w:val="SuperTitle"/>
    <w:basedOn w:val="Title"/>
    <w:rsid w:val="00BD5D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5D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5D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5D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5D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5D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5D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5D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5D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5D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5D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5D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5D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5DF9"/>
    <w:rPr>
      <w:i/>
    </w:rPr>
  </w:style>
  <w:style w:type="paragraph" w:styleId="Caption">
    <w:name w:val="caption"/>
    <w:basedOn w:val="BodyText"/>
    <w:next w:val="Normal"/>
    <w:qFormat/>
    <w:rsid w:val="00BD5D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5D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5D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5DF9"/>
  </w:style>
  <w:style w:type="paragraph" w:styleId="TableofFigures">
    <w:name w:val="table of figures"/>
    <w:basedOn w:val="Normal"/>
    <w:next w:val="Normal"/>
    <w:semiHidden/>
    <w:rsid w:val="00BD5D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5D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5DF9"/>
    <w:rPr>
      <w:rFonts w:ascii="Wingdings" w:hAnsi="Wingdings"/>
    </w:rPr>
  </w:style>
  <w:style w:type="character" w:customStyle="1" w:styleId="HotSpot">
    <w:name w:val="HotSpot"/>
    <w:rsid w:val="00BD5DF9"/>
    <w:rPr>
      <w:color w:val="0033CC"/>
      <w:u w:val="none"/>
    </w:rPr>
  </w:style>
  <w:style w:type="paragraph" w:customStyle="1" w:styleId="BodyTextRight">
    <w:name w:val="Body Text Right"/>
    <w:basedOn w:val="BodyText"/>
    <w:rsid w:val="00BD5D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5D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5D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5D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5D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5D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5DF9"/>
    <w:rPr>
      <w:sz w:val="32"/>
    </w:rPr>
  </w:style>
  <w:style w:type="paragraph" w:customStyle="1" w:styleId="HeadingProcedure">
    <w:name w:val="Heading Procedure"/>
    <w:basedOn w:val="HeadingBase"/>
    <w:next w:val="Normal"/>
    <w:rsid w:val="00BD5D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5DF9"/>
    <w:pPr>
      <w:spacing w:before="60" w:after="60"/>
    </w:pPr>
  </w:style>
  <w:style w:type="paragraph" w:styleId="ListContinue">
    <w:name w:val="List Continue"/>
    <w:basedOn w:val="List"/>
    <w:rsid w:val="00BD5DF9"/>
    <w:pPr>
      <w:ind w:firstLine="0"/>
    </w:pPr>
  </w:style>
  <w:style w:type="paragraph" w:customStyle="1" w:styleId="ListNote">
    <w:name w:val="List Note"/>
    <w:basedOn w:val="List"/>
    <w:rsid w:val="00BD5D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5D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5D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5DF9"/>
    <w:rPr>
      <w:rFonts w:ascii="Courier New" w:hAnsi="Courier New"/>
    </w:rPr>
  </w:style>
  <w:style w:type="paragraph" w:customStyle="1" w:styleId="NoteBullet">
    <w:name w:val="Note Bullet"/>
    <w:basedOn w:val="Note"/>
    <w:rsid w:val="00BD5D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5D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5D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5D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5D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5D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5D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5DF9"/>
    <w:rPr>
      <w:b/>
      <w:smallCaps/>
    </w:rPr>
  </w:style>
  <w:style w:type="paragraph" w:customStyle="1" w:styleId="TableListNumber">
    <w:name w:val="Table List Number"/>
    <w:basedOn w:val="ListNumber"/>
    <w:rsid w:val="00BD5D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5D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5DF9"/>
    <w:pPr>
      <w:numPr>
        <w:numId w:val="8"/>
      </w:numPr>
    </w:pPr>
  </w:style>
  <w:style w:type="paragraph" w:customStyle="1" w:styleId="ListAlpha2">
    <w:name w:val="List Alpha 2"/>
    <w:basedOn w:val="List2"/>
    <w:rsid w:val="00BD5DF9"/>
    <w:pPr>
      <w:numPr>
        <w:numId w:val="7"/>
      </w:numPr>
    </w:pPr>
  </w:style>
  <w:style w:type="paragraph" w:styleId="List2">
    <w:name w:val="List 2"/>
    <w:basedOn w:val="BodyText"/>
    <w:rsid w:val="00BD5D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5D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5D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5D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5D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5D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5DF9"/>
    <w:pPr>
      <w:numPr>
        <w:numId w:val="3"/>
      </w:numPr>
    </w:pPr>
  </w:style>
  <w:style w:type="paragraph" w:styleId="ListContinue2">
    <w:name w:val="List Continue 2"/>
    <w:basedOn w:val="List2"/>
    <w:rsid w:val="00BD5DF9"/>
    <w:pPr>
      <w:ind w:firstLine="0"/>
    </w:pPr>
  </w:style>
  <w:style w:type="paragraph" w:styleId="ListContinue3">
    <w:name w:val="List Continue 3"/>
    <w:basedOn w:val="List3"/>
    <w:rsid w:val="00BD5DF9"/>
    <w:pPr>
      <w:ind w:left="1021" w:firstLine="0"/>
    </w:pPr>
  </w:style>
  <w:style w:type="paragraph" w:styleId="ListContinue4">
    <w:name w:val="List Continue 4"/>
    <w:basedOn w:val="List4"/>
    <w:rsid w:val="00BD5DF9"/>
    <w:pPr>
      <w:ind w:firstLine="0"/>
    </w:pPr>
  </w:style>
  <w:style w:type="paragraph" w:styleId="ListContinue5">
    <w:name w:val="List Continue 5"/>
    <w:basedOn w:val="List5"/>
    <w:rsid w:val="00BD5DF9"/>
    <w:pPr>
      <w:ind w:firstLine="0"/>
    </w:pPr>
  </w:style>
  <w:style w:type="paragraph" w:styleId="ListNumber3">
    <w:name w:val="List Number 3"/>
    <w:basedOn w:val="List3"/>
    <w:rsid w:val="00BD5DF9"/>
    <w:pPr>
      <w:numPr>
        <w:numId w:val="4"/>
      </w:numPr>
    </w:pPr>
  </w:style>
  <w:style w:type="paragraph" w:styleId="ListNumber4">
    <w:name w:val="List Number 4"/>
    <w:basedOn w:val="List4"/>
    <w:rsid w:val="00BD5DF9"/>
    <w:pPr>
      <w:numPr>
        <w:numId w:val="5"/>
      </w:numPr>
    </w:pPr>
  </w:style>
  <w:style w:type="paragraph" w:styleId="ListNumber5">
    <w:name w:val="List Number 5"/>
    <w:basedOn w:val="List5"/>
    <w:rsid w:val="00BD5DF9"/>
    <w:pPr>
      <w:numPr>
        <w:numId w:val="6"/>
      </w:numPr>
    </w:pPr>
  </w:style>
  <w:style w:type="paragraph" w:styleId="BlockText">
    <w:name w:val="Block Text"/>
    <w:basedOn w:val="Normal"/>
    <w:rsid w:val="00BD5D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5D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5DF9"/>
    <w:rPr>
      <w:sz w:val="16"/>
      <w:vertAlign w:val="superscript"/>
    </w:rPr>
  </w:style>
  <w:style w:type="character" w:customStyle="1" w:styleId="Symbols">
    <w:name w:val="Symbols"/>
    <w:basedOn w:val="DefaultParagraphFont"/>
    <w:rsid w:val="00BD5DF9"/>
    <w:rPr>
      <w:rFonts w:ascii="Symbol" w:hAnsi="Symbol"/>
    </w:rPr>
  </w:style>
  <w:style w:type="character" w:customStyle="1" w:styleId="MenuOptions">
    <w:name w:val="Menu Options"/>
    <w:basedOn w:val="DefaultParagraphFont"/>
    <w:rsid w:val="00BD5D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5DF9"/>
    <w:rPr>
      <w:b/>
    </w:rPr>
  </w:style>
  <w:style w:type="character" w:customStyle="1" w:styleId="Underlined">
    <w:name w:val="Underlined"/>
    <w:basedOn w:val="DefaultParagraphFont"/>
    <w:rsid w:val="00BD5DF9"/>
    <w:rPr>
      <w:u w:val="single"/>
    </w:rPr>
  </w:style>
  <w:style w:type="paragraph" w:customStyle="1" w:styleId="TableBodyTextRight">
    <w:name w:val="Table Body Text Right"/>
    <w:basedOn w:val="TableBodyText"/>
    <w:rsid w:val="00BD5D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5DF9"/>
    <w:rPr>
      <w:sz w:val="18"/>
    </w:rPr>
  </w:style>
  <w:style w:type="paragraph" w:customStyle="1" w:styleId="BodySmallRight">
    <w:name w:val="Body Small Right"/>
    <w:basedOn w:val="BodyTextRight"/>
    <w:rsid w:val="00BD5DF9"/>
    <w:rPr>
      <w:sz w:val="18"/>
      <w:szCs w:val="18"/>
    </w:rPr>
  </w:style>
  <w:style w:type="paragraph" w:customStyle="1" w:styleId="MarginEdition">
    <w:name w:val="Margin Edition"/>
    <w:basedOn w:val="MarginNote"/>
    <w:rsid w:val="00BD5D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5DF9"/>
    <w:rPr>
      <w:sz w:val="2"/>
      <w:szCs w:val="2"/>
    </w:rPr>
  </w:style>
  <w:style w:type="character" w:customStyle="1" w:styleId="Small">
    <w:name w:val="Small"/>
    <w:basedOn w:val="DefaultParagraphFont"/>
    <w:rsid w:val="00BD5DF9"/>
    <w:rPr>
      <w:sz w:val="16"/>
    </w:rPr>
  </w:style>
  <w:style w:type="paragraph" w:customStyle="1" w:styleId="WideTable">
    <w:name w:val="Wide Table"/>
    <w:basedOn w:val="Normal"/>
    <w:rsid w:val="00BD5D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5DF9"/>
  </w:style>
  <w:style w:type="paragraph" w:styleId="Quote">
    <w:name w:val="Quote"/>
    <w:basedOn w:val="Heading1"/>
    <w:link w:val="QuoteChar"/>
    <w:qFormat/>
    <w:rsid w:val="00BD5D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5D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5DF9"/>
    <w:pPr>
      <w:pageBreakBefore/>
    </w:pPr>
  </w:style>
  <w:style w:type="paragraph" w:customStyle="1" w:styleId="Border">
    <w:name w:val="Border"/>
    <w:basedOn w:val="Normal"/>
    <w:qFormat/>
    <w:rsid w:val="00BD5D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5D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D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D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5D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5D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5D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5D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5D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5DF9"/>
    <w:rPr>
      <w:u w:val="single"/>
    </w:rPr>
  </w:style>
  <w:style w:type="character" w:customStyle="1" w:styleId="BoldandItalics">
    <w:name w:val="Bold and Italics"/>
    <w:qFormat/>
    <w:rsid w:val="00BD5DF9"/>
    <w:rPr>
      <w:b/>
      <w:i/>
      <w:u w:val="none"/>
    </w:rPr>
  </w:style>
  <w:style w:type="paragraph" w:styleId="BalloonText">
    <w:name w:val="Balloon Text"/>
    <w:basedOn w:val="Normal"/>
    <w:link w:val="BalloonTextChar"/>
    <w:rsid w:val="00BD5D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5D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5D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5D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5D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5D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5DF9"/>
    <w:pPr>
      <w:spacing w:before="0" w:after="0"/>
    </w:pPr>
  </w:style>
  <w:style w:type="paragraph" w:customStyle="1" w:styleId="BodyTextBold">
    <w:name w:val="Body Text Bold"/>
    <w:basedOn w:val="BodyText"/>
    <w:qFormat/>
    <w:rsid w:val="00BD5DF9"/>
    <w:rPr>
      <w:b/>
    </w:rPr>
  </w:style>
  <w:style w:type="character" w:styleId="Hyperlink">
    <w:name w:val="Hyperlink"/>
    <w:basedOn w:val="DefaultParagraphFont"/>
    <w:uiPriority w:val="99"/>
    <w:unhideWhenUsed/>
    <w:rsid w:val="00942E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428</Words>
  <Characters>2904</Characters>
  <Application>Microsoft Office Word</Application>
  <DocSecurity>0</DocSecurity>
  <Lines>116</Lines>
  <Paragraphs>77</Paragraphs>
  <ScaleCrop>false</ScaleCrop>
  <Company>Author-it Software Corporation Ltd.</Company>
  <LinksUpToDate>false</LinksUpToDate>
  <CharactersWithSpaces>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AMPA2151 Eviscerate condemned carcase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2025-03-02T00:52:00Z</dcterms:created>
  <dcterms:modified xsi:type="dcterms:W3CDTF">2025-03-02T00:52:00Z</dcterms:modified>
</cp:coreProperties>
</file>