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541" w:rsidP="00885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AMPA2149 Dispose of condemned carcase</w:t>
      </w:r>
      <w:r>
        <w:fldChar w:fldCharType="end"/>
      </w:r>
    </w:p>
    <w:p w:rsidR="00885541" w:rsidP="00885541">
      <w:pPr>
        <w:pStyle w:val="Version"/>
        <w:sectPr w:rsidSect="00303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5BE" w:rsidP="003035BE">
      <w:pPr>
        <w:pStyle w:val="SuperHeading"/>
      </w:pPr>
      <w:r w:rsidRPr="003035BE">
        <w:t>AMPA2149 Dispose of condemned carcase</w:t>
      </w:r>
    </w:p>
    <w:p w:rsidR="00000000" w:rsidRPr="003035BE" w:rsidP="003035BE">
      <w:pPr>
        <w:pStyle w:val="Heading1"/>
      </w:pPr>
      <w:bookmarkStart w:id="1" w:name="O_901209"/>
      <w:bookmarkEnd w:id="1"/>
      <w:r w:rsidRPr="00303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03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TableHeading"/>
              <w:rPr>
                <w:lang w:val="en-NZ"/>
              </w:rPr>
            </w:pPr>
            <w:r w:rsidRPr="003035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TableHeading"/>
              <w:rPr>
                <w:lang w:val="en-NZ"/>
              </w:rPr>
            </w:pPr>
            <w:r w:rsidRPr="003035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TableHeading"/>
              <w:rPr>
                <w:lang w:val="en-NZ"/>
              </w:rPr>
            </w:pPr>
            <w:r w:rsidRPr="003035BE">
              <w:t>Comment</w:t>
            </w:r>
          </w:p>
        </w:tc>
      </w:tr>
      <w:tr w:rsidTr="00303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BodyText"/>
              <w:rPr>
                <w:lang w:val="en-NZ"/>
              </w:rPr>
            </w:pPr>
            <w:r w:rsidRPr="003035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BodyText"/>
              <w:rPr>
                <w:lang w:val="en-NZ"/>
              </w:rPr>
            </w:pPr>
            <w:r w:rsidRPr="003035B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BE" w:rsidP="003035BE">
            <w:pPr>
              <w:pStyle w:val="BodyText"/>
            </w:pPr>
            <w:r w:rsidRPr="003035BE">
              <w:t>Initial release</w:t>
            </w:r>
          </w:p>
        </w:tc>
      </w:tr>
    </w:tbl>
    <w:p w:rsidR="00000000" w:rsidRPr="003035BE" w:rsidP="003035BE">
      <w:pPr>
        <w:pStyle w:val="BodyText"/>
      </w:pPr>
    </w:p>
    <w:p w:rsidR="00000000" w:rsidRPr="003035BE" w:rsidP="003035BE">
      <w:pPr>
        <w:pStyle w:val="AllowPageBreak"/>
      </w:pPr>
    </w:p>
    <w:p w:rsidR="00000000" w:rsidRPr="003035BE" w:rsidP="003035BE">
      <w:pPr>
        <w:pStyle w:val="Heading1"/>
      </w:pPr>
      <w:bookmarkStart w:id="2" w:name="O_901210"/>
      <w:bookmarkEnd w:id="2"/>
      <w:r w:rsidRPr="003035BE">
        <w:t>Application</w:t>
      </w:r>
    </w:p>
    <w:p w:rsidR="00000000" w:rsidRPr="003035BE" w:rsidP="00885541">
      <w:pPr>
        <w:pStyle w:val="BodyText"/>
      </w:pPr>
      <w:r w:rsidRPr="003035BE">
        <w:t>This unit describes the skills and knowledge required to remove and dispose of a condemned carcase from a work area.</w:t>
      </w:r>
    </w:p>
    <w:p w:rsidR="00000000" w:rsidRPr="003035BE" w:rsidP="00885541">
      <w:pPr>
        <w:pStyle w:val="BodyText"/>
      </w:pPr>
      <w:r w:rsidRPr="003035BE">
        <w:t>This unit is applicable to workers at abattoirs (stock handlers and slaughter personnel), knackeries or game processing establishments required to dispose of condemned carcases.</w:t>
      </w:r>
    </w:p>
    <w:p w:rsidR="00000000" w:rsidRPr="003035BE" w:rsidP="00885541">
      <w:pPr>
        <w:pStyle w:val="BodyText"/>
      </w:pPr>
      <w:r w:rsidRPr="003035BE">
        <w:t>All work should be carried out to comply with workplace and hygiene requireme</w:t>
      </w:r>
      <w:r w:rsidRPr="003035BE">
        <w:t xml:space="preserve">nts. </w:t>
      </w:r>
    </w:p>
    <w:p w:rsidR="00000000" w:rsidRPr="003035BE" w:rsidP="00885541">
      <w:pPr>
        <w:pStyle w:val="BodyText"/>
      </w:pPr>
      <w:r w:rsidRPr="003035BE">
        <w:t>This unit applies to individuals who work under general supervision, exercise limited autonomy and have some accountability for their own work.</w:t>
      </w:r>
    </w:p>
    <w:p w:rsidR="00000000" w:rsidRPr="003035BE" w:rsidP="00885541">
      <w:pPr>
        <w:pStyle w:val="BodyText"/>
      </w:pPr>
      <w:r w:rsidRPr="003035BE">
        <w:t xml:space="preserve">No occupational licensing, legislative or certification requirements are known to apply to this unit at </w:t>
      </w:r>
      <w:r w:rsidRPr="003035BE">
        <w:t>the time of publication.</w:t>
      </w:r>
    </w:p>
    <w:p w:rsidR="00000000" w:rsidRPr="003035BE" w:rsidP="00885541">
      <w:pPr>
        <w:pStyle w:val="BodyText"/>
      </w:pPr>
      <w:r w:rsidRPr="003035BE">
        <w:t>This unit must be delivered and assessed in the context of Australian meat processing standards and regulations.</w:t>
      </w:r>
    </w:p>
    <w:p w:rsidR="00000000" w:rsidRPr="003035BE" w:rsidP="003035BE">
      <w:pPr>
        <w:pStyle w:val="Heading1"/>
      </w:pPr>
      <w:bookmarkStart w:id="3" w:name="O_901211"/>
      <w:bookmarkEnd w:id="3"/>
      <w:r w:rsidRPr="003035BE">
        <w:t>Pre-requisite Unit</w:t>
      </w:r>
    </w:p>
    <w:p w:rsidR="00000000" w:rsidRPr="003035BE" w:rsidP="00885541">
      <w:pPr>
        <w:pStyle w:val="BodyText"/>
      </w:pPr>
      <w:r w:rsidRPr="003035BE">
        <w:t>Nil.</w:t>
      </w:r>
    </w:p>
    <w:p w:rsidR="00000000" w:rsidRPr="003035BE" w:rsidP="003035BE">
      <w:pPr>
        <w:pStyle w:val="Heading1"/>
      </w:pPr>
      <w:bookmarkStart w:id="4" w:name="O_901213"/>
      <w:bookmarkEnd w:id="4"/>
      <w:r w:rsidRPr="003035BE">
        <w:t>Unit Sector</w:t>
      </w:r>
    </w:p>
    <w:p w:rsidR="00000000" w:rsidRPr="003035BE" w:rsidP="003035BE">
      <w:pPr>
        <w:pStyle w:val="Heading1"/>
      </w:pPr>
      <w:bookmarkStart w:id="5" w:name="O_901214"/>
      <w:bookmarkEnd w:id="5"/>
      <w:r w:rsidRPr="003035BE">
        <w:t>Elements and Performance Criter</w:t>
      </w:r>
      <w:r w:rsidRPr="003035BE">
        <w:t>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855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TableHeading"/>
              <w:rPr>
                <w:lang w:val="en-NZ"/>
              </w:rPr>
            </w:pPr>
            <w:r w:rsidRPr="003035B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TableHeading"/>
              <w:rPr>
                <w:lang w:val="en-NZ"/>
              </w:rPr>
            </w:pPr>
            <w:r w:rsidRPr="003035BE">
              <w:t>Performance criteria</w:t>
            </w:r>
          </w:p>
        </w:tc>
      </w:tr>
      <w:tr w:rsidTr="008855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BodyText"/>
              <w:rPr>
                <w:lang w:val="en-NZ"/>
              </w:rPr>
            </w:pPr>
            <w:r w:rsidRPr="003035B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BodyText"/>
              <w:rPr>
                <w:lang w:val="en-NZ"/>
              </w:rPr>
            </w:pPr>
            <w:r w:rsidRPr="003035BE">
              <w:t>Performance criteria describe the performance needed to demonstrate achievement of the element.</w:t>
            </w:r>
          </w:p>
        </w:tc>
      </w:tr>
      <w:tr w:rsidTr="008855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List"/>
              <w:rPr>
                <w:lang w:val="en-NZ"/>
              </w:rPr>
            </w:pPr>
            <w:r w:rsidRPr="003035BE">
              <w:t>1.</w:t>
            </w:r>
            <w:r w:rsidRPr="003035BE">
              <w:tab/>
              <w:t>Dispose of condemned carcase</w:t>
            </w:r>
            <w:r w:rsidRPr="003035BE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BE" w:rsidP="003035BE">
            <w:pPr>
              <w:pStyle w:val="List"/>
            </w:pPr>
            <w:r w:rsidRPr="003035BE">
              <w:t>1.1</w:t>
            </w:r>
            <w:r w:rsidRPr="003035BE">
              <w:tab/>
            </w:r>
            <w:r w:rsidRPr="003035BE">
              <w:t>Remove condemned carcase from the work area and dispose of in accordance with workplace and regulatory requirements.</w:t>
            </w:r>
          </w:p>
          <w:p w:rsidR="00000000" w:rsidRPr="003035BE" w:rsidP="003035BE">
            <w:pPr>
              <w:pStyle w:val="List"/>
            </w:pPr>
            <w:r w:rsidRPr="003035BE">
              <w:t>1.2</w:t>
            </w:r>
            <w:r w:rsidRPr="003035BE">
              <w:tab/>
              <w:t>Handle carcase in accordance with work instructions.</w:t>
            </w:r>
          </w:p>
          <w:p w:rsidR="00000000" w:rsidRPr="003035BE" w:rsidP="003035BE">
            <w:pPr>
              <w:pStyle w:val="List"/>
            </w:pPr>
            <w:r w:rsidRPr="003035BE">
              <w:t>1.3</w:t>
            </w:r>
            <w:r w:rsidRPr="003035BE">
              <w:tab/>
              <w:t>Handle carcase in accordance with workplace health and safety requirements.</w:t>
            </w:r>
          </w:p>
        </w:tc>
      </w:tr>
    </w:tbl>
    <w:p w:rsidR="00000000" w:rsidRPr="003035BE" w:rsidP="003035BE">
      <w:pPr>
        <w:pStyle w:val="BodyText"/>
      </w:pPr>
    </w:p>
    <w:p w:rsidR="00000000" w:rsidRPr="003035BE" w:rsidP="003035BE">
      <w:pPr>
        <w:pStyle w:val="AllowPageBreak"/>
      </w:pPr>
    </w:p>
    <w:p w:rsidR="00000000" w:rsidRPr="003035BE" w:rsidP="003035BE">
      <w:pPr>
        <w:pStyle w:val="Heading1"/>
      </w:pPr>
      <w:bookmarkStart w:id="6" w:name="O_901215"/>
      <w:bookmarkEnd w:id="6"/>
      <w:r w:rsidRPr="003035BE">
        <w:t>Foundation Skills</w:t>
      </w:r>
    </w:p>
    <w:p w:rsidR="00000000" w:rsidRPr="003035BE" w:rsidP="00885541">
      <w:pPr>
        <w:pStyle w:val="BodyText"/>
      </w:pPr>
      <w:r w:rsidRPr="003035BE">
        <w:t>Foundation Skills essential to performance are explicit in the performance criteria of this unit of competency.</w:t>
      </w:r>
    </w:p>
    <w:p w:rsidR="00000000" w:rsidRPr="003035BE" w:rsidP="003035BE">
      <w:pPr>
        <w:pStyle w:val="Heading1"/>
      </w:pPr>
      <w:bookmarkStart w:id="7" w:name="O_901216"/>
      <w:bookmarkEnd w:id="7"/>
      <w:r w:rsidRPr="003035BE">
        <w:t>Range of Conditions</w:t>
      </w:r>
    </w:p>
    <w:p w:rsidR="00000000" w:rsidRPr="003035BE" w:rsidP="003035BE">
      <w:pPr>
        <w:pStyle w:val="Heading1"/>
      </w:pPr>
      <w:bookmarkStart w:id="8" w:name="O_901217"/>
      <w:bookmarkEnd w:id="8"/>
      <w:r w:rsidRPr="003035BE">
        <w:t>Unit Mapping Information</w:t>
      </w:r>
    </w:p>
    <w:p w:rsidR="00000000" w:rsidRPr="003035BE" w:rsidP="00885541">
      <w:pPr>
        <w:pStyle w:val="BodyText"/>
      </w:pPr>
      <w:r w:rsidRPr="003035BE">
        <w:t>This unit is equivalent to MTMP</w:t>
      </w:r>
      <w:r w:rsidRPr="003035BE">
        <w:t>2171C Dispose of condemned carcase</w:t>
      </w:r>
    </w:p>
    <w:p w:rsidR="00000000" w:rsidRPr="003035BE" w:rsidP="003035BE">
      <w:pPr>
        <w:pStyle w:val="Heading1"/>
      </w:pPr>
      <w:bookmarkStart w:id="9" w:name="O_901224"/>
      <w:bookmarkEnd w:id="9"/>
      <w:r w:rsidRPr="003035BE">
        <w:t>Links</w:t>
      </w:r>
    </w:p>
    <w:p w:rsidR="00000000" w:rsidRPr="003035BE" w:rsidP="00885541">
      <w:pPr>
        <w:pStyle w:val="BodyText"/>
      </w:pPr>
      <w:r w:rsidRPr="00303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7BB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035BE" w:rsidP="00885541">
      <w:pPr>
        <w:pStyle w:val="BodyText"/>
        <w:sectPr w:rsidSect="003035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35BE" w:rsidP="003035BE">
      <w:pPr>
        <w:pStyle w:val="SuperHeading"/>
      </w:pPr>
      <w:r w:rsidRPr="003035BE">
        <w:t>Asses</w:t>
      </w:r>
      <w:r w:rsidRPr="003035BE">
        <w:t>sment Requirements for AMPA2149 Dispose of condemned carcase</w:t>
      </w:r>
    </w:p>
    <w:p w:rsidR="00000000" w:rsidRPr="003035BE" w:rsidP="003035BE">
      <w:pPr>
        <w:pStyle w:val="Heading1"/>
      </w:pPr>
      <w:bookmarkStart w:id="10" w:name="O_901219"/>
      <w:bookmarkEnd w:id="10"/>
      <w:r w:rsidRPr="00303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03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TableHeading"/>
              <w:rPr>
                <w:lang w:val="en-NZ"/>
              </w:rPr>
            </w:pPr>
            <w:r w:rsidRPr="003035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TableHeading"/>
              <w:rPr>
                <w:lang w:val="en-NZ"/>
              </w:rPr>
            </w:pPr>
            <w:r w:rsidRPr="003035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TableHeading"/>
              <w:rPr>
                <w:lang w:val="en-NZ"/>
              </w:rPr>
            </w:pPr>
            <w:r w:rsidRPr="003035BE">
              <w:t>Comment</w:t>
            </w:r>
          </w:p>
        </w:tc>
      </w:tr>
      <w:tr w:rsidTr="00303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BodyText"/>
              <w:rPr>
                <w:lang w:val="en-NZ"/>
              </w:rPr>
            </w:pPr>
            <w:r w:rsidRPr="003035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BE">
            <w:pPr>
              <w:pStyle w:val="BodyText"/>
              <w:rPr>
                <w:lang w:val="en-NZ"/>
              </w:rPr>
            </w:pPr>
            <w:r w:rsidRPr="003035B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BE" w:rsidP="003035BE">
            <w:pPr>
              <w:pStyle w:val="BodyText"/>
            </w:pPr>
            <w:r w:rsidRPr="003035BE">
              <w:t>Initial release</w:t>
            </w:r>
          </w:p>
        </w:tc>
      </w:tr>
    </w:tbl>
    <w:p w:rsidR="00000000" w:rsidRPr="003035BE" w:rsidP="003035BE">
      <w:pPr>
        <w:pStyle w:val="BodyText"/>
      </w:pPr>
    </w:p>
    <w:p w:rsidR="00000000" w:rsidRPr="003035BE" w:rsidP="003035BE">
      <w:pPr>
        <w:pStyle w:val="AllowPageBreak"/>
      </w:pPr>
    </w:p>
    <w:p w:rsidR="00000000" w:rsidRPr="003035BE" w:rsidP="003035BE">
      <w:pPr>
        <w:pStyle w:val="Heading1"/>
      </w:pPr>
      <w:bookmarkStart w:id="11" w:name="O_901220"/>
      <w:bookmarkEnd w:id="11"/>
      <w:r w:rsidRPr="003035BE">
        <w:t>Performance Evidence</w:t>
      </w:r>
    </w:p>
    <w:p w:rsidR="00000000" w:rsidRPr="003035BE" w:rsidP="00885541">
      <w:pPr>
        <w:pStyle w:val="BodyText"/>
      </w:pPr>
      <w:r w:rsidRPr="003035BE">
        <w:t>The candidate must remove and dispose of at least one condemned carcase from a work area.</w:t>
      </w:r>
    </w:p>
    <w:p w:rsidR="00000000" w:rsidRPr="003035BE" w:rsidP="00885541">
      <w:pPr>
        <w:pStyle w:val="BodyText"/>
      </w:pPr>
      <w:r w:rsidRPr="003035BE">
        <w:t>The candidate must:</w:t>
      </w:r>
    </w:p>
    <w:p w:rsidR="00000000" w:rsidRPr="003035BE" w:rsidP="003035BE">
      <w:pPr>
        <w:pStyle w:val="ListBullet"/>
      </w:pPr>
      <w:r w:rsidRPr="003035BE">
        <w:t>dispose of condemned carcase to workplace and regulatory requirements</w:t>
      </w:r>
    </w:p>
    <w:p w:rsidR="00000000" w:rsidRPr="003035BE" w:rsidP="003035BE">
      <w:pPr>
        <w:pStyle w:val="ListBullet"/>
      </w:pPr>
      <w:r w:rsidRPr="003035BE">
        <w:t>handle condemned carcases in accordance with workplace health and safety, and hygiene and sanitation requirements</w:t>
      </w:r>
    </w:p>
    <w:p w:rsidR="00000000" w:rsidRPr="003035BE" w:rsidP="003035BE">
      <w:pPr>
        <w:pStyle w:val="ListBullet"/>
      </w:pPr>
      <w:r w:rsidRPr="003035BE">
        <w:t>operate manual and mechanical handling equipment safely</w:t>
      </w:r>
    </w:p>
    <w:p w:rsidR="00000000" w:rsidRPr="003035BE" w:rsidP="003035BE">
      <w:pPr>
        <w:pStyle w:val="ListBullet"/>
      </w:pPr>
      <w:r w:rsidRPr="003035BE">
        <w:t>process condemned carcases to regulatory requirements.</w:t>
      </w:r>
    </w:p>
    <w:p w:rsidR="00000000" w:rsidRPr="003035BE" w:rsidP="003035BE">
      <w:pPr>
        <w:pStyle w:val="AllowPageBreak"/>
      </w:pPr>
    </w:p>
    <w:p w:rsidR="00000000" w:rsidRPr="003035BE" w:rsidP="003035BE">
      <w:pPr>
        <w:pStyle w:val="Heading1"/>
      </w:pPr>
      <w:bookmarkStart w:id="12" w:name="O_901221"/>
      <w:bookmarkEnd w:id="12"/>
      <w:r w:rsidRPr="003035BE">
        <w:t>Knowledge Evid</w:t>
      </w:r>
      <w:r w:rsidRPr="003035BE">
        <w:t>ence</w:t>
      </w:r>
    </w:p>
    <w:p w:rsidR="00000000" w:rsidRPr="003035BE" w:rsidP="00885541">
      <w:pPr>
        <w:pStyle w:val="BodyText"/>
      </w:pPr>
      <w:r w:rsidRPr="003035BE">
        <w:t xml:space="preserve">The candidate must demonstrate a basic factual, technical and procedural knowledge of: </w:t>
      </w:r>
    </w:p>
    <w:p w:rsidR="00000000" w:rsidRPr="003035BE" w:rsidP="003035BE">
      <w:pPr>
        <w:pStyle w:val="ListBullet"/>
      </w:pPr>
      <w:r w:rsidRPr="003035BE">
        <w:t>regulatory requirements covering the processing of condemned carcases</w:t>
      </w:r>
    </w:p>
    <w:p w:rsidR="00000000" w:rsidRPr="003035BE" w:rsidP="003035BE">
      <w:pPr>
        <w:pStyle w:val="ListBullet"/>
      </w:pPr>
      <w:r w:rsidRPr="003035BE">
        <w:t>safe operation of manual and mechanical handling equipment related to disposing of condemned</w:t>
      </w:r>
      <w:r w:rsidRPr="003035BE">
        <w:t xml:space="preserve"> carcase</w:t>
      </w:r>
    </w:p>
    <w:p w:rsidR="00000000" w:rsidRPr="003035BE" w:rsidP="003035BE">
      <w:pPr>
        <w:pStyle w:val="ListBullet"/>
      </w:pPr>
      <w:r w:rsidRPr="003035BE">
        <w:t>workplace health and safety risks associated with handling condemned carcases and the preventative measures.</w:t>
      </w:r>
    </w:p>
    <w:p w:rsidR="00000000" w:rsidRPr="003035BE" w:rsidP="003035BE">
      <w:pPr>
        <w:pStyle w:val="AllowPageBreak"/>
      </w:pPr>
    </w:p>
    <w:p w:rsidR="00000000" w:rsidRPr="003035BE" w:rsidP="003035BE">
      <w:pPr>
        <w:pStyle w:val="Heading1"/>
      </w:pPr>
      <w:bookmarkStart w:id="13" w:name="O_901222"/>
      <w:bookmarkEnd w:id="13"/>
      <w:r w:rsidRPr="003035BE">
        <w:t>Assessment Conditions</w:t>
      </w:r>
    </w:p>
    <w:p w:rsidR="00000000" w:rsidRPr="003035BE" w:rsidP="00885541">
      <w:pPr>
        <w:pStyle w:val="BodyText"/>
      </w:pPr>
      <w:r w:rsidRPr="003035BE">
        <w:t>Assessment must be conducted in an operating abattoir, knackery or game processing establishment.</w:t>
      </w:r>
    </w:p>
    <w:p w:rsidR="00000000" w:rsidRPr="003035BE" w:rsidP="00885541">
      <w:pPr>
        <w:pStyle w:val="BodyText"/>
      </w:pPr>
      <w:r w:rsidRPr="003035BE">
        <w:t>Competency must be demonstrated under normal production conditions.</w:t>
      </w:r>
    </w:p>
    <w:p w:rsidR="00000000" w:rsidRPr="003035BE" w:rsidP="00885541">
      <w:pPr>
        <w:pStyle w:val="BodyText"/>
      </w:pPr>
      <w:r w:rsidRPr="003035BE">
        <w:t xml:space="preserve">As a minimum, the following three forms of assessment must be used: </w:t>
      </w:r>
    </w:p>
    <w:p w:rsidR="00000000" w:rsidRPr="003035BE" w:rsidP="003035BE">
      <w:pPr>
        <w:pStyle w:val="ListBullet"/>
      </w:pPr>
      <w:r w:rsidRPr="003035BE">
        <w:t>quiz of underpinning knowledge</w:t>
      </w:r>
    </w:p>
    <w:p w:rsidR="00000000" w:rsidRPr="003035BE" w:rsidP="003035BE">
      <w:pPr>
        <w:pStyle w:val="ListBullet"/>
      </w:pPr>
      <w:r w:rsidRPr="003035BE">
        <w:t xml:space="preserve">workplace demonstration </w:t>
      </w:r>
    </w:p>
    <w:p w:rsidR="00000000" w:rsidRPr="003035BE" w:rsidP="003035BE">
      <w:pPr>
        <w:pStyle w:val="ListBullet"/>
      </w:pPr>
      <w:r w:rsidRPr="003035BE">
        <w:t>workplace referee or third-party report of perfor</w:t>
      </w:r>
      <w:r w:rsidRPr="003035BE">
        <w:t>mance over time.</w:t>
      </w:r>
    </w:p>
    <w:p w:rsidR="00000000" w:rsidRPr="003035BE" w:rsidP="003035BE">
      <w:pPr>
        <w:pStyle w:val="BodyText"/>
      </w:pPr>
    </w:p>
    <w:p w:rsidR="00000000" w:rsidRPr="003035BE" w:rsidP="00885541">
      <w:pPr>
        <w:pStyle w:val="BodyText"/>
      </w:pPr>
      <w:r w:rsidRPr="003035BE">
        <w:t>Assessors must satisfy the current standards for RTOs.</w:t>
      </w:r>
    </w:p>
    <w:p w:rsidR="00000000" w:rsidRPr="003035BE" w:rsidP="003035BE">
      <w:pPr>
        <w:pStyle w:val="Heading1"/>
      </w:pPr>
      <w:bookmarkStart w:id="14" w:name="O_901225"/>
      <w:bookmarkEnd w:id="14"/>
      <w:r w:rsidRPr="003035BE">
        <w:t>Links</w:t>
      </w:r>
    </w:p>
    <w:p w:rsidR="00000000" w:rsidRPr="003035BE" w:rsidP="00885541">
      <w:pPr>
        <w:pStyle w:val="BodyText"/>
      </w:pPr>
      <w:r w:rsidRPr="00303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7BB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035BE" w:rsidP="003035BE"/>
    <w:sectPr w:rsidSect="003035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BE" w:rsidRPr="00885541" w:rsidP="00885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41" w:rsidP="00303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541" w:rsidP="00303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5541" w:rsidP="003035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BE" w:rsidP="00303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5541">
      <w:t>Approved</w:t>
    </w:r>
    <w:r w:rsidR="008855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55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5541">
      <w:rPr>
        <w:noProof/>
      </w:rPr>
      <w:t>4</w:t>
    </w:r>
    <w:r>
      <w:rPr>
        <w:noProof/>
      </w:rPr>
      <w:fldChar w:fldCharType="end"/>
    </w:r>
  </w:p>
  <w:p w:rsidR="003035BE" w:rsidP="00303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55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5541">
      <w:t>Skills Insight</w:t>
    </w:r>
    <w:r w:rsidR="00885541">
      <w:fldChar w:fldCharType="end"/>
    </w:r>
  </w:p>
  <w:p w:rsidR="003035BE" w:rsidP="00303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5BE" w:rsidRPr="00885541" w:rsidP="00885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41" w:rsidRPr="002D2AF8" w:rsidP="00303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AMPA2149 Dispose of condemned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5541" w:rsidP="003035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BE" w:rsidRPr="002D2AF8" w:rsidP="00303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5541">
      <w:t>AMPA2149 Dispose of condemned carcase</w:t>
    </w:r>
    <w:r w:rsidR="008855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5541">
      <w:rPr>
        <w:noProof/>
      </w:rPr>
      <w:t>2 March 2025</w:t>
    </w:r>
    <w:r>
      <w:fldChar w:fldCharType="end"/>
    </w:r>
  </w:p>
  <w:p w:rsidR="003035BE" w:rsidP="00303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B20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C017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5BE"/>
  </w:style>
  <w:style w:type="character" w:customStyle="1" w:styleId="Heading1Char">
    <w:name w:val="Heading 1 Char"/>
    <w:basedOn w:val="DefaultParagraphFont"/>
    <w:link w:val="Heading1"/>
    <w:rsid w:val="00303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5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35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35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3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035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03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5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3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35BE"/>
    <w:rPr>
      <w:b/>
      <w:spacing w:val="0"/>
    </w:rPr>
  </w:style>
  <w:style w:type="paragraph" w:customStyle="1" w:styleId="SuperTitle">
    <w:name w:val="SuperTitle"/>
    <w:basedOn w:val="Title"/>
    <w:rsid w:val="00303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5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5BE"/>
    <w:rPr>
      <w:i/>
    </w:rPr>
  </w:style>
  <w:style w:type="paragraph" w:styleId="Caption">
    <w:name w:val="caption"/>
    <w:basedOn w:val="BodyText"/>
    <w:next w:val="Normal"/>
    <w:qFormat/>
    <w:rsid w:val="00303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5BE"/>
  </w:style>
  <w:style w:type="paragraph" w:styleId="TableofFigures">
    <w:name w:val="table of figures"/>
    <w:basedOn w:val="Normal"/>
    <w:next w:val="Normal"/>
    <w:semiHidden/>
    <w:rsid w:val="00303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5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35BE"/>
    <w:rPr>
      <w:rFonts w:ascii="Wingdings" w:hAnsi="Wingdings"/>
    </w:rPr>
  </w:style>
  <w:style w:type="character" w:customStyle="1" w:styleId="HotSpot">
    <w:name w:val="HotSpot"/>
    <w:rsid w:val="003035BE"/>
    <w:rPr>
      <w:color w:val="0033CC"/>
      <w:u w:val="none"/>
    </w:rPr>
  </w:style>
  <w:style w:type="paragraph" w:customStyle="1" w:styleId="BodyTextRight">
    <w:name w:val="Body Text Right"/>
    <w:basedOn w:val="BodyText"/>
    <w:rsid w:val="00303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5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5BE"/>
    <w:rPr>
      <w:sz w:val="32"/>
    </w:rPr>
  </w:style>
  <w:style w:type="paragraph" w:customStyle="1" w:styleId="HeadingProcedure">
    <w:name w:val="Heading Procedure"/>
    <w:basedOn w:val="HeadingBase"/>
    <w:next w:val="Normal"/>
    <w:rsid w:val="00303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5BE"/>
    <w:pPr>
      <w:spacing w:before="60" w:after="60"/>
    </w:pPr>
  </w:style>
  <w:style w:type="paragraph" w:styleId="ListContinue">
    <w:name w:val="List Continue"/>
    <w:basedOn w:val="List"/>
    <w:rsid w:val="003035BE"/>
    <w:pPr>
      <w:ind w:firstLine="0"/>
    </w:pPr>
  </w:style>
  <w:style w:type="paragraph" w:customStyle="1" w:styleId="ListNote">
    <w:name w:val="List Note"/>
    <w:basedOn w:val="List"/>
    <w:rsid w:val="00303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5BE"/>
    <w:rPr>
      <w:rFonts w:ascii="Courier New" w:hAnsi="Courier New"/>
    </w:rPr>
  </w:style>
  <w:style w:type="paragraph" w:customStyle="1" w:styleId="NoteBullet">
    <w:name w:val="Note Bullet"/>
    <w:basedOn w:val="Note"/>
    <w:rsid w:val="00303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5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5BE"/>
    <w:rPr>
      <w:b/>
      <w:smallCaps/>
    </w:rPr>
  </w:style>
  <w:style w:type="paragraph" w:customStyle="1" w:styleId="TableListNumber">
    <w:name w:val="Table List Number"/>
    <w:basedOn w:val="ListNumber"/>
    <w:rsid w:val="00303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5BE"/>
    <w:pPr>
      <w:numPr>
        <w:numId w:val="8"/>
      </w:numPr>
    </w:pPr>
  </w:style>
  <w:style w:type="paragraph" w:customStyle="1" w:styleId="ListAlpha2">
    <w:name w:val="List Alpha 2"/>
    <w:basedOn w:val="List2"/>
    <w:rsid w:val="003035BE"/>
    <w:pPr>
      <w:numPr>
        <w:numId w:val="7"/>
      </w:numPr>
    </w:pPr>
  </w:style>
  <w:style w:type="paragraph" w:styleId="List2">
    <w:name w:val="List 2"/>
    <w:basedOn w:val="BodyText"/>
    <w:rsid w:val="00303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5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5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35BE"/>
    <w:pPr>
      <w:numPr>
        <w:numId w:val="3"/>
      </w:numPr>
    </w:pPr>
  </w:style>
  <w:style w:type="paragraph" w:styleId="ListContinue2">
    <w:name w:val="List Continue 2"/>
    <w:basedOn w:val="List2"/>
    <w:rsid w:val="003035BE"/>
    <w:pPr>
      <w:ind w:firstLine="0"/>
    </w:pPr>
  </w:style>
  <w:style w:type="paragraph" w:styleId="ListContinue3">
    <w:name w:val="List Continue 3"/>
    <w:basedOn w:val="List3"/>
    <w:rsid w:val="003035BE"/>
    <w:pPr>
      <w:ind w:left="1021" w:firstLine="0"/>
    </w:pPr>
  </w:style>
  <w:style w:type="paragraph" w:styleId="ListContinue4">
    <w:name w:val="List Continue 4"/>
    <w:basedOn w:val="List4"/>
    <w:rsid w:val="003035BE"/>
    <w:pPr>
      <w:ind w:firstLine="0"/>
    </w:pPr>
  </w:style>
  <w:style w:type="paragraph" w:styleId="ListContinue5">
    <w:name w:val="List Continue 5"/>
    <w:basedOn w:val="List5"/>
    <w:rsid w:val="003035BE"/>
    <w:pPr>
      <w:ind w:firstLine="0"/>
    </w:pPr>
  </w:style>
  <w:style w:type="paragraph" w:styleId="ListNumber3">
    <w:name w:val="List Number 3"/>
    <w:basedOn w:val="List3"/>
    <w:rsid w:val="003035BE"/>
    <w:pPr>
      <w:numPr>
        <w:numId w:val="4"/>
      </w:numPr>
    </w:pPr>
  </w:style>
  <w:style w:type="paragraph" w:styleId="ListNumber4">
    <w:name w:val="List Number 4"/>
    <w:basedOn w:val="List4"/>
    <w:rsid w:val="003035BE"/>
    <w:pPr>
      <w:numPr>
        <w:numId w:val="5"/>
      </w:numPr>
    </w:pPr>
  </w:style>
  <w:style w:type="paragraph" w:styleId="ListNumber5">
    <w:name w:val="List Number 5"/>
    <w:basedOn w:val="List5"/>
    <w:rsid w:val="003035BE"/>
    <w:pPr>
      <w:numPr>
        <w:numId w:val="6"/>
      </w:numPr>
    </w:pPr>
  </w:style>
  <w:style w:type="paragraph" w:styleId="BlockText">
    <w:name w:val="Block Text"/>
    <w:basedOn w:val="Normal"/>
    <w:rsid w:val="00303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5BE"/>
    <w:rPr>
      <w:sz w:val="16"/>
      <w:vertAlign w:val="superscript"/>
    </w:rPr>
  </w:style>
  <w:style w:type="character" w:customStyle="1" w:styleId="Symbols">
    <w:name w:val="Symbols"/>
    <w:basedOn w:val="DefaultParagraphFont"/>
    <w:rsid w:val="003035BE"/>
    <w:rPr>
      <w:rFonts w:ascii="Symbol" w:hAnsi="Symbol"/>
    </w:rPr>
  </w:style>
  <w:style w:type="character" w:customStyle="1" w:styleId="MenuOptions">
    <w:name w:val="Menu Options"/>
    <w:basedOn w:val="DefaultParagraphFont"/>
    <w:rsid w:val="00303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5BE"/>
    <w:rPr>
      <w:b/>
    </w:rPr>
  </w:style>
  <w:style w:type="character" w:customStyle="1" w:styleId="Underlined">
    <w:name w:val="Underlined"/>
    <w:basedOn w:val="DefaultParagraphFont"/>
    <w:rsid w:val="003035BE"/>
    <w:rPr>
      <w:u w:val="single"/>
    </w:rPr>
  </w:style>
  <w:style w:type="paragraph" w:customStyle="1" w:styleId="TableBodyTextRight">
    <w:name w:val="Table Body Text Right"/>
    <w:basedOn w:val="TableBodyText"/>
    <w:rsid w:val="00303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5BE"/>
    <w:rPr>
      <w:sz w:val="18"/>
    </w:rPr>
  </w:style>
  <w:style w:type="paragraph" w:customStyle="1" w:styleId="BodySmallRight">
    <w:name w:val="Body Small Right"/>
    <w:basedOn w:val="BodyTextRight"/>
    <w:rsid w:val="003035BE"/>
    <w:rPr>
      <w:sz w:val="18"/>
      <w:szCs w:val="18"/>
    </w:rPr>
  </w:style>
  <w:style w:type="paragraph" w:customStyle="1" w:styleId="MarginEdition">
    <w:name w:val="Margin Edition"/>
    <w:basedOn w:val="MarginNote"/>
    <w:rsid w:val="00303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5BE"/>
    <w:rPr>
      <w:sz w:val="2"/>
      <w:szCs w:val="2"/>
    </w:rPr>
  </w:style>
  <w:style w:type="character" w:customStyle="1" w:styleId="Small">
    <w:name w:val="Small"/>
    <w:basedOn w:val="DefaultParagraphFont"/>
    <w:rsid w:val="003035BE"/>
    <w:rPr>
      <w:sz w:val="16"/>
    </w:rPr>
  </w:style>
  <w:style w:type="paragraph" w:customStyle="1" w:styleId="WideTable">
    <w:name w:val="Wide Table"/>
    <w:basedOn w:val="Normal"/>
    <w:rsid w:val="00303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5BE"/>
  </w:style>
  <w:style w:type="paragraph" w:styleId="Quote">
    <w:name w:val="Quote"/>
    <w:basedOn w:val="Heading1"/>
    <w:link w:val="QuoteChar"/>
    <w:qFormat/>
    <w:rsid w:val="00303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5BE"/>
    <w:pPr>
      <w:pageBreakBefore/>
    </w:pPr>
  </w:style>
  <w:style w:type="paragraph" w:customStyle="1" w:styleId="Border">
    <w:name w:val="Border"/>
    <w:basedOn w:val="Normal"/>
    <w:qFormat/>
    <w:rsid w:val="00303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5BE"/>
    <w:rPr>
      <w:u w:val="single"/>
    </w:rPr>
  </w:style>
  <w:style w:type="character" w:customStyle="1" w:styleId="BoldandItalics">
    <w:name w:val="Bold and Italics"/>
    <w:qFormat/>
    <w:rsid w:val="003035BE"/>
    <w:rPr>
      <w:b/>
      <w:i/>
      <w:u w:val="none"/>
    </w:rPr>
  </w:style>
  <w:style w:type="paragraph" w:styleId="BalloonText">
    <w:name w:val="Balloon Text"/>
    <w:basedOn w:val="Normal"/>
    <w:link w:val="BalloonTextChar"/>
    <w:rsid w:val="00303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5BE"/>
    <w:pPr>
      <w:spacing w:before="0" w:after="0"/>
    </w:pPr>
  </w:style>
  <w:style w:type="paragraph" w:customStyle="1" w:styleId="BodyTextBold">
    <w:name w:val="Body Text Bold"/>
    <w:basedOn w:val="BodyText"/>
    <w:qFormat/>
    <w:rsid w:val="003035BE"/>
    <w:rPr>
      <w:b/>
    </w:rPr>
  </w:style>
  <w:style w:type="character" w:styleId="Hyperlink">
    <w:name w:val="Hyperlink"/>
    <w:basedOn w:val="DefaultParagraphFont"/>
    <w:uiPriority w:val="99"/>
    <w:unhideWhenUsed/>
    <w:rsid w:val="00885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3201</Characters>
  <Application>Microsoft Office Word</Application>
  <DocSecurity>0</DocSecurity>
  <Lines>118</Lines>
  <Paragraphs>81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AMPA2149 Dispose of condemned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