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01E" w:rsidP="00CA5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AMPA2136 Overview fellmongering operations</w:t>
      </w:r>
      <w:r>
        <w:fldChar w:fldCharType="end"/>
      </w:r>
    </w:p>
    <w:p w:rsidR="00CA501E" w:rsidP="00CA501E">
      <w:pPr>
        <w:pStyle w:val="Version"/>
        <w:sectPr w:rsidSect="00F65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B24" w:rsidP="00F65B24">
      <w:pPr>
        <w:pStyle w:val="SuperHeading"/>
      </w:pPr>
      <w:r w:rsidRPr="00F65B24">
        <w:t>AMPA2136 Overview fellmongering operations</w:t>
      </w:r>
    </w:p>
    <w:p w:rsidR="00000000" w:rsidRPr="00F65B24" w:rsidP="00F65B24">
      <w:pPr>
        <w:pStyle w:val="Heading1"/>
      </w:pPr>
      <w:bookmarkStart w:id="1" w:name="O_900696"/>
      <w:bookmarkEnd w:id="1"/>
      <w:r w:rsidRPr="00F65B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6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TableHeading"/>
              <w:rPr>
                <w:lang w:val="en-NZ"/>
              </w:rPr>
            </w:pPr>
            <w:r w:rsidRPr="00F65B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TableHeading"/>
              <w:rPr>
                <w:lang w:val="en-NZ"/>
              </w:rPr>
            </w:pPr>
            <w:r w:rsidRPr="00F65B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TableHeading"/>
              <w:rPr>
                <w:lang w:val="en-NZ"/>
              </w:rPr>
            </w:pPr>
            <w:r w:rsidRPr="00F65B24">
              <w:t>Comment</w:t>
            </w:r>
          </w:p>
        </w:tc>
      </w:tr>
      <w:tr w:rsidTr="00F6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BodyText"/>
              <w:rPr>
                <w:lang w:val="en-NZ"/>
              </w:rPr>
            </w:pPr>
            <w:r w:rsidRPr="00F65B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BodyText"/>
              <w:rPr>
                <w:lang w:val="en-NZ"/>
              </w:rPr>
            </w:pPr>
            <w:r w:rsidRPr="00F65B2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B24" w:rsidP="00F65B24">
            <w:pPr>
              <w:pStyle w:val="BodyText"/>
            </w:pPr>
            <w:r w:rsidRPr="00F65B24">
              <w:t>Initial release</w:t>
            </w:r>
          </w:p>
        </w:tc>
      </w:tr>
    </w:tbl>
    <w:p w:rsidR="00000000" w:rsidRPr="00F65B24" w:rsidP="00F65B24">
      <w:pPr>
        <w:pStyle w:val="BodyText"/>
      </w:pPr>
    </w:p>
    <w:p w:rsidR="00000000" w:rsidRPr="00F65B24" w:rsidP="00F65B24">
      <w:pPr>
        <w:pStyle w:val="AllowPageBreak"/>
      </w:pPr>
    </w:p>
    <w:p w:rsidR="00000000" w:rsidRPr="00F65B24" w:rsidP="00F65B24">
      <w:pPr>
        <w:pStyle w:val="Heading1"/>
      </w:pPr>
      <w:bookmarkStart w:id="2" w:name="O_900697"/>
      <w:bookmarkEnd w:id="2"/>
      <w:r w:rsidRPr="00F65B24">
        <w:t>Application</w:t>
      </w:r>
    </w:p>
    <w:p w:rsidR="00000000" w:rsidRPr="00F65B24" w:rsidP="00CA501E">
      <w:pPr>
        <w:pStyle w:val="BodyText"/>
      </w:pPr>
      <w:r w:rsidRPr="00F65B24">
        <w:t>This unit describes the skills and knowledge required to understand the operation of a fellmongering plant.</w:t>
      </w:r>
    </w:p>
    <w:p w:rsidR="00000000" w:rsidRPr="00F65B24" w:rsidP="00CA501E">
      <w:pPr>
        <w:pStyle w:val="BodyText"/>
      </w:pPr>
      <w:r w:rsidRPr="00F65B24">
        <w:t>This unit is applicable to workers employed in any part of a fellmongering operation.</w:t>
      </w:r>
    </w:p>
    <w:p w:rsidR="00000000" w:rsidRPr="00F65B24" w:rsidP="00CA501E">
      <w:pPr>
        <w:pStyle w:val="BodyText"/>
      </w:pPr>
      <w:r w:rsidRPr="00F65B24">
        <w:t xml:space="preserve">All work should be carried out to comply with workplace and hygiene requirements. </w:t>
      </w:r>
    </w:p>
    <w:p w:rsidR="00000000" w:rsidRPr="00F65B24" w:rsidP="00CA501E">
      <w:pPr>
        <w:pStyle w:val="BodyText"/>
      </w:pPr>
      <w:r w:rsidRPr="00F65B24">
        <w:t>This unit applies to individuals who work under general supervision, exercise limited</w:t>
      </w:r>
      <w:r w:rsidRPr="00F65B24">
        <w:t xml:space="preserve"> autonomy and have some accountability for their own work.</w:t>
      </w:r>
    </w:p>
    <w:p w:rsidR="00000000" w:rsidRPr="00F65B24" w:rsidP="00CA501E">
      <w:pPr>
        <w:pStyle w:val="BodyText"/>
      </w:pPr>
      <w:r w:rsidRPr="00F65B24">
        <w:t>No occupational licensing, legislative or certification requirements are known to apply to this unit at the time of publication.</w:t>
      </w:r>
    </w:p>
    <w:p w:rsidR="00000000" w:rsidRPr="00F65B24" w:rsidP="00CA501E">
      <w:pPr>
        <w:pStyle w:val="BodyText"/>
      </w:pPr>
      <w:r w:rsidRPr="00F65B24">
        <w:t>This unit must be delivered and assessed in the context of Austral</w:t>
      </w:r>
      <w:r w:rsidRPr="00F65B24">
        <w:t>ian meat processing standards and regulations.</w:t>
      </w:r>
    </w:p>
    <w:p w:rsidR="00000000" w:rsidRPr="00F65B24" w:rsidP="00F65B24">
      <w:pPr>
        <w:pStyle w:val="Heading1"/>
      </w:pPr>
      <w:bookmarkStart w:id="3" w:name="O_900698"/>
      <w:bookmarkEnd w:id="3"/>
      <w:r w:rsidRPr="00F65B24">
        <w:t>Pre-requisite Unit</w:t>
      </w:r>
    </w:p>
    <w:p w:rsidR="00000000" w:rsidRPr="00F65B24" w:rsidP="00CA501E">
      <w:pPr>
        <w:pStyle w:val="BodyText"/>
      </w:pPr>
      <w:r w:rsidRPr="00F65B24">
        <w:t>Nil.</w:t>
      </w:r>
    </w:p>
    <w:p w:rsidR="00000000" w:rsidRPr="00F65B24" w:rsidP="00F65B24">
      <w:pPr>
        <w:pStyle w:val="Heading1"/>
      </w:pPr>
      <w:bookmarkStart w:id="4" w:name="O_900700"/>
      <w:bookmarkEnd w:id="4"/>
      <w:r w:rsidRPr="00F65B24">
        <w:t>Unit Sector</w:t>
      </w:r>
    </w:p>
    <w:p w:rsidR="00000000" w:rsidRPr="00F65B24" w:rsidP="00F65B24">
      <w:pPr>
        <w:pStyle w:val="Heading1"/>
      </w:pPr>
      <w:bookmarkStart w:id="5" w:name="O_900701"/>
      <w:bookmarkEnd w:id="5"/>
      <w:r w:rsidRPr="00F65B2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A50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TableHeading"/>
              <w:rPr>
                <w:lang w:val="en-NZ"/>
              </w:rPr>
            </w:pPr>
            <w:r w:rsidRPr="00F65B2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TableHeading"/>
              <w:rPr>
                <w:lang w:val="en-NZ"/>
              </w:rPr>
            </w:pPr>
            <w:r w:rsidRPr="00F65B24">
              <w:t>Performance criteria</w:t>
            </w:r>
          </w:p>
        </w:tc>
      </w:tr>
      <w:tr w:rsidTr="00CA50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BodyText"/>
              <w:rPr>
                <w:lang w:val="en-NZ"/>
              </w:rPr>
            </w:pPr>
            <w:r w:rsidRPr="00F65B24">
              <w:t xml:space="preserve">Elements describe the </w:t>
            </w:r>
            <w:r w:rsidRPr="00F65B2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BodyText"/>
              <w:rPr>
                <w:lang w:val="en-NZ"/>
              </w:rPr>
            </w:pPr>
            <w:r w:rsidRPr="00F65B24">
              <w:t xml:space="preserve">Performance criteria describe the performance needed to </w:t>
            </w:r>
            <w:r w:rsidRPr="00F65B24">
              <w:t>demonstrate achievement of the element.</w:t>
            </w:r>
          </w:p>
        </w:tc>
      </w:tr>
      <w:tr w:rsidTr="00CA50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List"/>
              <w:rPr>
                <w:lang w:val="en-NZ"/>
              </w:rPr>
            </w:pPr>
            <w:r w:rsidRPr="00F65B24">
              <w:t>1.</w:t>
            </w:r>
            <w:r w:rsidRPr="00F65B24">
              <w:tab/>
              <w:t>Identify steps in fellmongering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B24" w:rsidP="00F65B24">
            <w:pPr>
              <w:pStyle w:val="List"/>
            </w:pPr>
            <w:r w:rsidRPr="00F65B24">
              <w:t>1.1</w:t>
            </w:r>
            <w:r w:rsidRPr="00F65B24">
              <w:tab/>
              <w:t>Identify steps and machinery employed in the fellmongering process.</w:t>
            </w:r>
          </w:p>
          <w:p w:rsidR="00000000" w:rsidRPr="00F65B24" w:rsidP="00F65B24">
            <w:pPr>
              <w:pStyle w:val="List"/>
            </w:pPr>
            <w:r w:rsidRPr="00F65B24">
              <w:t>1.2</w:t>
            </w:r>
            <w:r w:rsidRPr="00F65B24">
              <w:tab/>
              <w:t>Identify types and sources of defects in fellmon</w:t>
            </w:r>
            <w:r w:rsidRPr="00F65B24">
              <w:t>gered products.</w:t>
            </w:r>
          </w:p>
          <w:p w:rsidR="00000000" w:rsidRPr="00F65B24" w:rsidP="00F65B24">
            <w:pPr>
              <w:pStyle w:val="List"/>
            </w:pPr>
            <w:r w:rsidRPr="00F65B24">
              <w:t>1.3</w:t>
            </w:r>
            <w:r w:rsidRPr="00F65B24">
              <w:tab/>
              <w:t>Identify quality requirements and customer specifications related to pelts and pulled wool.</w:t>
            </w:r>
          </w:p>
          <w:p w:rsidR="00000000" w:rsidP="00F65B24">
            <w:pPr>
              <w:pStyle w:val="List"/>
              <w:rPr>
                <w:lang w:val="en-NZ"/>
              </w:rPr>
            </w:pPr>
            <w:r w:rsidRPr="00F65B24">
              <w:t>1.4</w:t>
            </w:r>
            <w:r w:rsidRPr="00F65B24">
              <w:tab/>
              <w:t>Identify environmental hazards and preventative measures associated with fellmongering.</w:t>
            </w:r>
          </w:p>
        </w:tc>
      </w:tr>
      <w:tr w:rsidTr="00CA50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B24">
            <w:pPr>
              <w:pStyle w:val="List"/>
              <w:rPr>
                <w:lang w:val="en-NZ"/>
              </w:rPr>
            </w:pPr>
            <w:r w:rsidRPr="00F65B24">
              <w:t>2.</w:t>
            </w:r>
            <w:r w:rsidRPr="00F65B24">
              <w:tab/>
              <w:t>Follow safety requirements for this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B24" w:rsidP="00F65B24">
            <w:pPr>
              <w:pStyle w:val="List"/>
            </w:pPr>
            <w:r w:rsidRPr="00F65B24">
              <w:t>2.1</w:t>
            </w:r>
            <w:r w:rsidRPr="00F65B24">
              <w:tab/>
            </w:r>
            <w:r w:rsidRPr="00F65B24">
              <w:t>Identify safety hazards in the fellmongering area.</w:t>
            </w:r>
          </w:p>
          <w:p w:rsidR="00000000" w:rsidRPr="00F65B24" w:rsidP="00F65B24">
            <w:pPr>
              <w:pStyle w:val="List"/>
            </w:pPr>
            <w:r w:rsidRPr="00F65B24">
              <w:t>2.2</w:t>
            </w:r>
            <w:r w:rsidRPr="00F65B24">
              <w:tab/>
              <w:t>Identify and follow workplace health and safety requirements for the fellmongering area.</w:t>
            </w:r>
          </w:p>
        </w:tc>
      </w:tr>
    </w:tbl>
    <w:p w:rsidR="00000000" w:rsidRPr="00F65B24" w:rsidP="00F65B24">
      <w:pPr>
        <w:pStyle w:val="BodyText"/>
      </w:pPr>
    </w:p>
    <w:p w:rsidR="00000000" w:rsidRPr="00F65B24" w:rsidP="00F65B24">
      <w:pPr>
        <w:pStyle w:val="AllowPageBreak"/>
      </w:pPr>
    </w:p>
    <w:p w:rsidR="00000000" w:rsidRPr="00F65B24" w:rsidP="00F65B24">
      <w:pPr>
        <w:pStyle w:val="Heading1"/>
      </w:pPr>
      <w:bookmarkStart w:id="6" w:name="O_900702"/>
      <w:bookmarkEnd w:id="6"/>
      <w:r w:rsidRPr="00F65B24">
        <w:t>Foundation Skills</w:t>
      </w:r>
    </w:p>
    <w:p w:rsidR="00000000" w:rsidRPr="00F65B24" w:rsidP="00CA501E">
      <w:pPr>
        <w:pStyle w:val="BodyText"/>
      </w:pPr>
      <w:r w:rsidRPr="00F65B24">
        <w:t xml:space="preserve">Foundation Skills essential to performance are explicit in the performance </w:t>
      </w:r>
      <w:r w:rsidRPr="00F65B24">
        <w:t>criteria of this unit of competency.</w:t>
      </w:r>
    </w:p>
    <w:p w:rsidR="00000000" w:rsidRPr="00F65B24" w:rsidP="00F65B24">
      <w:pPr>
        <w:pStyle w:val="Heading1"/>
      </w:pPr>
      <w:bookmarkStart w:id="7" w:name="O_900703"/>
      <w:bookmarkEnd w:id="7"/>
      <w:r w:rsidRPr="00F65B24">
        <w:t>Range of Conditions</w:t>
      </w:r>
    </w:p>
    <w:p w:rsidR="00000000" w:rsidRPr="00F65B24" w:rsidP="00F65B24">
      <w:pPr>
        <w:pStyle w:val="Heading1"/>
      </w:pPr>
      <w:bookmarkStart w:id="8" w:name="O_900704"/>
      <w:bookmarkEnd w:id="8"/>
      <w:r w:rsidRPr="00F65B24">
        <w:t>Unit Mapping Information</w:t>
      </w:r>
    </w:p>
    <w:p w:rsidR="00000000" w:rsidRPr="00F65B24" w:rsidP="00CA501E">
      <w:pPr>
        <w:pStyle w:val="BodyText"/>
      </w:pPr>
      <w:r w:rsidRPr="00F65B24">
        <w:t>This unit is equivalent to MTMP2161C Overview fellmongering operations</w:t>
      </w:r>
    </w:p>
    <w:p w:rsidR="00000000" w:rsidRPr="00F65B24" w:rsidP="00F65B24">
      <w:pPr>
        <w:pStyle w:val="Heading1"/>
      </w:pPr>
      <w:bookmarkStart w:id="9" w:name="O_900711"/>
      <w:bookmarkEnd w:id="9"/>
      <w:r w:rsidRPr="00F65B24">
        <w:t>Links</w:t>
      </w:r>
    </w:p>
    <w:p w:rsidR="00000000" w:rsidRPr="00F65B24" w:rsidP="00CA501E">
      <w:pPr>
        <w:pStyle w:val="BodyText"/>
      </w:pPr>
      <w:r w:rsidRPr="00F65B24">
        <w:t>Companion Volume implementation guides are foun</w:t>
      </w:r>
      <w:r w:rsidRPr="00F65B24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4E0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5B24" w:rsidP="00F65B24"/>
    <w:sectPr w:rsidSect="00F65B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24" w:rsidRPr="00CA501E" w:rsidP="00CA5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1E" w:rsidP="00F65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01E" w:rsidP="00F65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501E" w:rsidP="00F65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B24" w:rsidRPr="00CA501E" w:rsidP="00CA5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1E" w:rsidRPr="002D2AF8" w:rsidP="00F65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AMPA2136 Overview fellmongering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A501E" w:rsidP="00F65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B24"/>
  </w:style>
  <w:style w:type="character" w:customStyle="1" w:styleId="Heading1Char">
    <w:name w:val="Heading 1 Char"/>
    <w:basedOn w:val="DefaultParagraphFont"/>
    <w:link w:val="Heading1"/>
    <w:rsid w:val="00F65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B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B2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65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5B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5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B2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65B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5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B24"/>
    <w:rPr>
      <w:b/>
      <w:spacing w:val="0"/>
    </w:rPr>
  </w:style>
  <w:style w:type="paragraph" w:customStyle="1" w:styleId="SuperTitle">
    <w:name w:val="SuperTitle"/>
    <w:basedOn w:val="Title"/>
    <w:rsid w:val="00F65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B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B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B24"/>
    <w:rPr>
      <w:i/>
    </w:rPr>
  </w:style>
  <w:style w:type="paragraph" w:styleId="Caption">
    <w:name w:val="caption"/>
    <w:basedOn w:val="BodyText"/>
    <w:next w:val="Normal"/>
    <w:qFormat/>
    <w:rsid w:val="00F65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B24"/>
  </w:style>
  <w:style w:type="paragraph" w:styleId="TableofFigures">
    <w:name w:val="table of figures"/>
    <w:basedOn w:val="Normal"/>
    <w:next w:val="Normal"/>
    <w:semiHidden/>
    <w:rsid w:val="00F65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B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5B24"/>
    <w:rPr>
      <w:rFonts w:ascii="Wingdings" w:hAnsi="Wingdings"/>
    </w:rPr>
  </w:style>
  <w:style w:type="character" w:customStyle="1" w:styleId="HotSpot">
    <w:name w:val="HotSpot"/>
    <w:rsid w:val="00F65B24"/>
    <w:rPr>
      <w:color w:val="0033CC"/>
      <w:u w:val="none"/>
    </w:rPr>
  </w:style>
  <w:style w:type="paragraph" w:customStyle="1" w:styleId="BodyTextRight">
    <w:name w:val="Body Text Right"/>
    <w:basedOn w:val="BodyText"/>
    <w:rsid w:val="00F65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B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B24"/>
    <w:rPr>
      <w:sz w:val="32"/>
    </w:rPr>
  </w:style>
  <w:style w:type="paragraph" w:customStyle="1" w:styleId="HeadingProcedure">
    <w:name w:val="Heading Procedure"/>
    <w:basedOn w:val="HeadingBase"/>
    <w:next w:val="Normal"/>
    <w:rsid w:val="00F65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B24"/>
    <w:pPr>
      <w:spacing w:before="60" w:after="60"/>
    </w:pPr>
  </w:style>
  <w:style w:type="paragraph" w:styleId="ListContinue">
    <w:name w:val="List Continue"/>
    <w:basedOn w:val="List"/>
    <w:rsid w:val="00F65B24"/>
    <w:pPr>
      <w:ind w:firstLine="0"/>
    </w:pPr>
  </w:style>
  <w:style w:type="paragraph" w:customStyle="1" w:styleId="ListNote">
    <w:name w:val="List Note"/>
    <w:basedOn w:val="List"/>
    <w:rsid w:val="00F65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B24"/>
    <w:rPr>
      <w:rFonts w:ascii="Courier New" w:hAnsi="Courier New"/>
    </w:rPr>
  </w:style>
  <w:style w:type="paragraph" w:customStyle="1" w:styleId="NoteBullet">
    <w:name w:val="Note Bullet"/>
    <w:basedOn w:val="Note"/>
    <w:rsid w:val="00F65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B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5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B24"/>
    <w:rPr>
      <w:b/>
      <w:smallCaps/>
    </w:rPr>
  </w:style>
  <w:style w:type="paragraph" w:customStyle="1" w:styleId="TableListNumber">
    <w:name w:val="Table List Number"/>
    <w:basedOn w:val="ListNumber"/>
    <w:rsid w:val="00F65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B24"/>
    <w:pPr>
      <w:numPr>
        <w:numId w:val="7"/>
      </w:numPr>
    </w:pPr>
  </w:style>
  <w:style w:type="paragraph" w:customStyle="1" w:styleId="ListAlpha2">
    <w:name w:val="List Alpha 2"/>
    <w:basedOn w:val="List2"/>
    <w:rsid w:val="00F65B24"/>
    <w:pPr>
      <w:numPr>
        <w:numId w:val="6"/>
      </w:numPr>
    </w:pPr>
  </w:style>
  <w:style w:type="paragraph" w:styleId="List2">
    <w:name w:val="List 2"/>
    <w:basedOn w:val="BodyText"/>
    <w:rsid w:val="00F65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B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B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5B24"/>
    <w:pPr>
      <w:numPr>
        <w:numId w:val="2"/>
      </w:numPr>
    </w:pPr>
  </w:style>
  <w:style w:type="paragraph" w:styleId="ListContinue2">
    <w:name w:val="List Continue 2"/>
    <w:basedOn w:val="List2"/>
    <w:rsid w:val="00F65B24"/>
    <w:pPr>
      <w:ind w:firstLine="0"/>
    </w:pPr>
  </w:style>
  <w:style w:type="paragraph" w:styleId="ListContinue3">
    <w:name w:val="List Continue 3"/>
    <w:basedOn w:val="List3"/>
    <w:rsid w:val="00F65B24"/>
    <w:pPr>
      <w:ind w:left="1021" w:firstLine="0"/>
    </w:pPr>
  </w:style>
  <w:style w:type="paragraph" w:styleId="ListContinue4">
    <w:name w:val="List Continue 4"/>
    <w:basedOn w:val="List4"/>
    <w:rsid w:val="00F65B24"/>
    <w:pPr>
      <w:ind w:firstLine="0"/>
    </w:pPr>
  </w:style>
  <w:style w:type="paragraph" w:styleId="ListContinue5">
    <w:name w:val="List Continue 5"/>
    <w:basedOn w:val="List5"/>
    <w:rsid w:val="00F65B24"/>
    <w:pPr>
      <w:ind w:firstLine="0"/>
    </w:pPr>
  </w:style>
  <w:style w:type="paragraph" w:styleId="ListNumber3">
    <w:name w:val="List Number 3"/>
    <w:basedOn w:val="List3"/>
    <w:rsid w:val="00F65B24"/>
    <w:pPr>
      <w:numPr>
        <w:numId w:val="3"/>
      </w:numPr>
    </w:pPr>
  </w:style>
  <w:style w:type="paragraph" w:styleId="ListNumber4">
    <w:name w:val="List Number 4"/>
    <w:basedOn w:val="List4"/>
    <w:rsid w:val="00F65B24"/>
    <w:pPr>
      <w:numPr>
        <w:numId w:val="4"/>
      </w:numPr>
    </w:pPr>
  </w:style>
  <w:style w:type="paragraph" w:styleId="ListNumber5">
    <w:name w:val="List Number 5"/>
    <w:basedOn w:val="List5"/>
    <w:rsid w:val="00F65B24"/>
    <w:pPr>
      <w:numPr>
        <w:numId w:val="5"/>
      </w:numPr>
    </w:pPr>
  </w:style>
  <w:style w:type="paragraph" w:styleId="BlockText">
    <w:name w:val="Block Text"/>
    <w:basedOn w:val="Normal"/>
    <w:rsid w:val="00F65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B24"/>
    <w:rPr>
      <w:sz w:val="16"/>
      <w:vertAlign w:val="superscript"/>
    </w:rPr>
  </w:style>
  <w:style w:type="character" w:customStyle="1" w:styleId="Symbols">
    <w:name w:val="Symbols"/>
    <w:basedOn w:val="DefaultParagraphFont"/>
    <w:rsid w:val="00F65B24"/>
    <w:rPr>
      <w:rFonts w:ascii="Symbol" w:hAnsi="Symbol"/>
    </w:rPr>
  </w:style>
  <w:style w:type="character" w:customStyle="1" w:styleId="MenuOptions">
    <w:name w:val="Menu Options"/>
    <w:basedOn w:val="DefaultParagraphFont"/>
    <w:rsid w:val="00F65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B24"/>
    <w:rPr>
      <w:b/>
    </w:rPr>
  </w:style>
  <w:style w:type="character" w:customStyle="1" w:styleId="Underlined">
    <w:name w:val="Underlined"/>
    <w:basedOn w:val="DefaultParagraphFont"/>
    <w:rsid w:val="00F65B24"/>
    <w:rPr>
      <w:u w:val="single"/>
    </w:rPr>
  </w:style>
  <w:style w:type="paragraph" w:customStyle="1" w:styleId="TableBodyTextRight">
    <w:name w:val="Table Body Text Right"/>
    <w:basedOn w:val="TableBodyText"/>
    <w:rsid w:val="00F65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B24"/>
    <w:rPr>
      <w:sz w:val="18"/>
    </w:rPr>
  </w:style>
  <w:style w:type="paragraph" w:customStyle="1" w:styleId="BodySmallRight">
    <w:name w:val="Body Small Right"/>
    <w:basedOn w:val="BodyTextRight"/>
    <w:rsid w:val="00F65B24"/>
    <w:rPr>
      <w:sz w:val="18"/>
      <w:szCs w:val="18"/>
    </w:rPr>
  </w:style>
  <w:style w:type="paragraph" w:customStyle="1" w:styleId="MarginEdition">
    <w:name w:val="Margin Edition"/>
    <w:basedOn w:val="MarginNote"/>
    <w:rsid w:val="00F65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B24"/>
    <w:rPr>
      <w:sz w:val="2"/>
      <w:szCs w:val="2"/>
    </w:rPr>
  </w:style>
  <w:style w:type="character" w:customStyle="1" w:styleId="Small">
    <w:name w:val="Small"/>
    <w:basedOn w:val="DefaultParagraphFont"/>
    <w:rsid w:val="00F65B24"/>
    <w:rPr>
      <w:sz w:val="16"/>
    </w:rPr>
  </w:style>
  <w:style w:type="paragraph" w:customStyle="1" w:styleId="WideTable">
    <w:name w:val="Wide Table"/>
    <w:basedOn w:val="Normal"/>
    <w:rsid w:val="00F65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B24"/>
  </w:style>
  <w:style w:type="paragraph" w:styleId="Quote">
    <w:name w:val="Quote"/>
    <w:basedOn w:val="Heading1"/>
    <w:link w:val="QuoteChar"/>
    <w:qFormat/>
    <w:rsid w:val="00F65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B24"/>
    <w:pPr>
      <w:pageBreakBefore/>
    </w:pPr>
  </w:style>
  <w:style w:type="paragraph" w:customStyle="1" w:styleId="Border">
    <w:name w:val="Border"/>
    <w:basedOn w:val="Normal"/>
    <w:qFormat/>
    <w:rsid w:val="00F65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B24"/>
    <w:rPr>
      <w:u w:val="single"/>
    </w:rPr>
  </w:style>
  <w:style w:type="character" w:customStyle="1" w:styleId="BoldandItalics">
    <w:name w:val="Bold and Italics"/>
    <w:qFormat/>
    <w:rsid w:val="00F65B24"/>
    <w:rPr>
      <w:b/>
      <w:i/>
      <w:u w:val="none"/>
    </w:rPr>
  </w:style>
  <w:style w:type="paragraph" w:styleId="BalloonText">
    <w:name w:val="Balloon Text"/>
    <w:basedOn w:val="Normal"/>
    <w:link w:val="BalloonTextChar"/>
    <w:rsid w:val="00F65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B24"/>
    <w:pPr>
      <w:spacing w:before="0" w:after="0"/>
    </w:pPr>
  </w:style>
  <w:style w:type="paragraph" w:customStyle="1" w:styleId="BodyTextBold">
    <w:name w:val="Body Text Bold"/>
    <w:basedOn w:val="BodyText"/>
    <w:qFormat/>
    <w:rsid w:val="00F65B24"/>
    <w:rPr>
      <w:b/>
    </w:rPr>
  </w:style>
  <w:style w:type="character" w:styleId="Hyperlink">
    <w:name w:val="Hyperlink"/>
    <w:basedOn w:val="DefaultParagraphFont"/>
    <w:uiPriority w:val="99"/>
    <w:unhideWhenUsed/>
    <w:rsid w:val="00CA5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1923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AMPA2136 Overview fellmongering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