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3EF" w:rsidP="006B43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AMPA2117 Separate and tie runners</w:t>
      </w:r>
      <w:r>
        <w:fldChar w:fldCharType="end"/>
      </w:r>
    </w:p>
    <w:p w:rsidR="006B43EF" w:rsidP="006B43EF">
      <w:pPr>
        <w:pStyle w:val="Version"/>
        <w:sectPr w:rsidSect="00EF35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3588" w:rsidP="00EF3588">
      <w:pPr>
        <w:pStyle w:val="SuperHeading"/>
      </w:pPr>
      <w:r w:rsidRPr="00EF3588">
        <w:t>AMPA2117 Separate and tie runners</w:t>
      </w:r>
    </w:p>
    <w:p w:rsidR="00000000" w:rsidRPr="00EF3588" w:rsidP="00EF3588">
      <w:pPr>
        <w:pStyle w:val="Heading1"/>
      </w:pPr>
      <w:bookmarkStart w:id="1" w:name="O_898674"/>
      <w:bookmarkEnd w:id="1"/>
      <w:r w:rsidRPr="00EF35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EF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88">
            <w:pPr>
              <w:pStyle w:val="TableHeading"/>
              <w:rPr>
                <w:lang w:val="en-NZ"/>
              </w:rPr>
            </w:pPr>
            <w:r w:rsidRPr="00EF358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88">
            <w:pPr>
              <w:pStyle w:val="TableHeading"/>
              <w:rPr>
                <w:lang w:val="en-NZ"/>
              </w:rPr>
            </w:pPr>
            <w:r w:rsidRPr="00EF358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88">
            <w:pPr>
              <w:pStyle w:val="TableHeading"/>
              <w:rPr>
                <w:lang w:val="en-NZ"/>
              </w:rPr>
            </w:pPr>
            <w:r w:rsidRPr="00EF3588">
              <w:t>Comment</w:t>
            </w:r>
          </w:p>
        </w:tc>
      </w:tr>
      <w:tr w:rsidTr="00EF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88">
            <w:pPr>
              <w:pStyle w:val="BodyText"/>
              <w:rPr>
                <w:lang w:val="en-NZ"/>
              </w:rPr>
            </w:pPr>
            <w:r w:rsidRPr="00EF358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88">
            <w:pPr>
              <w:pStyle w:val="BodyText"/>
              <w:rPr>
                <w:lang w:val="en-NZ"/>
              </w:rPr>
            </w:pPr>
            <w:r w:rsidRPr="00EF358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588" w:rsidP="00EF3588">
            <w:pPr>
              <w:pStyle w:val="BodyText"/>
            </w:pPr>
            <w:r w:rsidRPr="00EF3588">
              <w:t>Initial release</w:t>
            </w:r>
          </w:p>
        </w:tc>
      </w:tr>
    </w:tbl>
    <w:p w:rsidR="00000000" w:rsidRPr="00EF3588" w:rsidP="00EF3588">
      <w:pPr>
        <w:pStyle w:val="BodyText"/>
      </w:pPr>
    </w:p>
    <w:p w:rsidR="00000000" w:rsidRPr="00EF3588" w:rsidP="00EF3588">
      <w:pPr>
        <w:pStyle w:val="AllowPageBreak"/>
      </w:pPr>
    </w:p>
    <w:p w:rsidR="00000000" w:rsidRPr="00EF3588" w:rsidP="00EF3588">
      <w:pPr>
        <w:pStyle w:val="Heading1"/>
      </w:pPr>
      <w:bookmarkStart w:id="2" w:name="O_898675"/>
      <w:bookmarkEnd w:id="2"/>
      <w:r w:rsidRPr="00EF3588">
        <w:t>Application</w:t>
      </w:r>
    </w:p>
    <w:p w:rsidR="00000000" w:rsidRPr="00EF3588" w:rsidP="006B43EF">
      <w:pPr>
        <w:pStyle w:val="BodyText"/>
      </w:pPr>
      <w:r w:rsidRPr="00EF3588">
        <w:t>This unit describes the skills and knowledge required to separate runners from the viscera, inspect for defects or contamination and tie the runners to avoid spillage of contents.</w:t>
      </w:r>
    </w:p>
    <w:p w:rsidR="00000000" w:rsidRPr="00EF3588" w:rsidP="006B43EF">
      <w:pPr>
        <w:pStyle w:val="BodyText"/>
      </w:pPr>
      <w:r w:rsidRPr="00EF3588">
        <w:t>This unit is applicable to workers on the slaughter floor.</w:t>
      </w:r>
    </w:p>
    <w:p w:rsidR="00000000" w:rsidRPr="00EF3588" w:rsidP="006B43EF">
      <w:pPr>
        <w:pStyle w:val="BodyText"/>
      </w:pPr>
      <w:r w:rsidRPr="00EF3588">
        <w:t>All work should</w:t>
      </w:r>
      <w:r w:rsidRPr="00EF3588">
        <w:t xml:space="preserve"> be carried out to comply with workplace and hygiene requirements. </w:t>
      </w:r>
    </w:p>
    <w:p w:rsidR="00000000" w:rsidRPr="00EF3588" w:rsidP="006B43EF">
      <w:pPr>
        <w:pStyle w:val="BodyText"/>
      </w:pPr>
      <w:r w:rsidRPr="00EF3588">
        <w:t>This unit applies to individuals who work under general supervision, exercise limited autonomy and have some accountability for their own work.</w:t>
      </w:r>
    </w:p>
    <w:p w:rsidR="00000000" w:rsidRPr="00EF3588" w:rsidP="006B43EF">
      <w:pPr>
        <w:pStyle w:val="BodyText"/>
      </w:pPr>
      <w:r w:rsidRPr="00EF3588">
        <w:t xml:space="preserve">No occupational licensing, legislative or </w:t>
      </w:r>
      <w:r w:rsidRPr="00EF3588">
        <w:t>certification requirements are known to apply to this unit at the time of publication.</w:t>
      </w:r>
    </w:p>
    <w:p w:rsidR="00000000" w:rsidRPr="00EF3588" w:rsidP="006B43EF">
      <w:pPr>
        <w:pStyle w:val="BodyText"/>
      </w:pPr>
      <w:r w:rsidRPr="00EF3588">
        <w:t>This unit must be delivered and assessed in the context of Australian meat processing standards and regulations.</w:t>
      </w:r>
    </w:p>
    <w:p w:rsidR="00000000" w:rsidRPr="00EF3588" w:rsidP="00EF3588">
      <w:pPr>
        <w:pStyle w:val="Heading1"/>
      </w:pPr>
      <w:bookmarkStart w:id="3" w:name="O_898676"/>
      <w:bookmarkEnd w:id="3"/>
      <w:r w:rsidRPr="00EF3588">
        <w:t>Pre-requisite Unit</w:t>
      </w:r>
    </w:p>
    <w:p w:rsidR="00000000" w:rsidRPr="00EF3588" w:rsidP="006B43EF">
      <w:pPr>
        <w:pStyle w:val="BodyText"/>
      </w:pPr>
      <w:r w:rsidRPr="00EF3588">
        <w:t>AMPX209 Sharpen kni</w:t>
      </w:r>
      <w:r w:rsidRPr="00EF3588">
        <w:t>ves</w:t>
      </w:r>
    </w:p>
    <w:p w:rsidR="00000000" w:rsidRPr="00EF3588" w:rsidP="00EF3588">
      <w:pPr>
        <w:pStyle w:val="Heading1"/>
      </w:pPr>
      <w:bookmarkStart w:id="4" w:name="O_898678"/>
      <w:bookmarkEnd w:id="4"/>
      <w:r w:rsidRPr="00EF3588">
        <w:t>Unit Sector</w:t>
      </w:r>
    </w:p>
    <w:p w:rsidR="00000000" w:rsidRPr="00EF3588" w:rsidP="00EF3588">
      <w:pPr>
        <w:pStyle w:val="Heading1"/>
      </w:pPr>
      <w:bookmarkStart w:id="5" w:name="O_898679"/>
      <w:bookmarkEnd w:id="5"/>
      <w:r w:rsidRPr="00EF358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B43E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88">
            <w:pPr>
              <w:pStyle w:val="TableHeading"/>
              <w:rPr>
                <w:lang w:val="en-NZ"/>
              </w:rPr>
            </w:pPr>
            <w:r w:rsidRPr="00EF358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88">
            <w:pPr>
              <w:pStyle w:val="TableHeading"/>
              <w:rPr>
                <w:lang w:val="en-NZ"/>
              </w:rPr>
            </w:pPr>
            <w:r w:rsidRPr="00EF3588">
              <w:t>Performance criteria</w:t>
            </w:r>
          </w:p>
        </w:tc>
      </w:tr>
      <w:tr w:rsidTr="006B43E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88">
            <w:pPr>
              <w:pStyle w:val="BodyText"/>
              <w:rPr>
                <w:lang w:val="en-NZ"/>
              </w:rPr>
            </w:pPr>
            <w:r w:rsidRPr="00EF3588">
              <w:t xml:space="preserve">Elements describe the </w:t>
            </w:r>
            <w:r w:rsidRPr="00EF3588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88">
            <w:pPr>
              <w:pStyle w:val="BodyText"/>
              <w:rPr>
                <w:lang w:val="en-NZ"/>
              </w:rPr>
            </w:pPr>
            <w:r w:rsidRPr="00EF3588">
              <w:t xml:space="preserve">Performance criteria describe the performance needed to </w:t>
            </w:r>
            <w:r w:rsidRPr="00EF3588">
              <w:t>demonstrate achievement of the element.</w:t>
            </w:r>
          </w:p>
        </w:tc>
      </w:tr>
      <w:tr w:rsidTr="006B43E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88">
            <w:pPr>
              <w:pStyle w:val="List"/>
              <w:rPr>
                <w:lang w:val="en-NZ"/>
              </w:rPr>
            </w:pPr>
            <w:r w:rsidRPr="00EF3588">
              <w:t>1.</w:t>
            </w:r>
            <w:r w:rsidRPr="00EF3588">
              <w:tab/>
            </w:r>
            <w:r w:rsidRPr="00EF3588">
              <w:t>Separate and tie runners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588" w:rsidP="00EF3588">
            <w:pPr>
              <w:pStyle w:val="List"/>
            </w:pPr>
            <w:r w:rsidRPr="00EF3588">
              <w:t>1.1</w:t>
            </w:r>
            <w:r w:rsidRPr="00EF3588">
              <w:tab/>
              <w:t>Separate and tie runners to prevent contamination and to meet workplace and health and safety requirements</w:t>
            </w:r>
          </w:p>
          <w:p w:rsidR="00000000" w:rsidRPr="00EF3588" w:rsidP="00EF3588">
            <w:pPr>
              <w:pStyle w:val="List"/>
            </w:pPr>
            <w:r w:rsidRPr="00EF3588">
              <w:t>1.2</w:t>
            </w:r>
            <w:r w:rsidRPr="00EF3588">
              <w:tab/>
              <w:t>Inspect runners for defects or contamination according to workplace requirements</w:t>
            </w:r>
          </w:p>
          <w:p w:rsidR="00000000" w:rsidRPr="00EF3588" w:rsidP="00EF3588">
            <w:pPr>
              <w:pStyle w:val="List"/>
            </w:pPr>
            <w:r w:rsidRPr="00EF3588">
              <w:t>1.3</w:t>
            </w:r>
            <w:r w:rsidRPr="00EF3588">
              <w:tab/>
              <w:t>Place runners in appropriate ch</w:t>
            </w:r>
            <w:r w:rsidRPr="00EF3588">
              <w:t>utes according to workplace requirements</w:t>
            </w:r>
          </w:p>
        </w:tc>
      </w:tr>
    </w:tbl>
    <w:p w:rsidR="00000000" w:rsidRPr="00EF3588" w:rsidP="00EF3588">
      <w:pPr>
        <w:pStyle w:val="BodyText"/>
      </w:pPr>
    </w:p>
    <w:p w:rsidR="00000000" w:rsidRPr="00EF3588" w:rsidP="00EF3588">
      <w:pPr>
        <w:pStyle w:val="AllowPageBreak"/>
      </w:pPr>
    </w:p>
    <w:p w:rsidR="00000000" w:rsidRPr="00EF3588" w:rsidP="00EF3588">
      <w:pPr>
        <w:pStyle w:val="Heading1"/>
      </w:pPr>
      <w:bookmarkStart w:id="6" w:name="O_898680"/>
      <w:bookmarkEnd w:id="6"/>
      <w:r w:rsidRPr="00EF3588">
        <w:t>Foundation Skills</w:t>
      </w:r>
    </w:p>
    <w:p w:rsidR="00000000" w:rsidRPr="00EF3588" w:rsidP="006B43EF">
      <w:pPr>
        <w:pStyle w:val="BodyText"/>
      </w:pPr>
      <w:r w:rsidRPr="00EF3588">
        <w:t>Foundation Skills essential to performance are explicit in the performance criteria of this unit of competency.</w:t>
      </w:r>
    </w:p>
    <w:p w:rsidR="00000000" w:rsidRPr="00EF3588" w:rsidP="00EF3588">
      <w:pPr>
        <w:pStyle w:val="Heading1"/>
      </w:pPr>
      <w:bookmarkStart w:id="7" w:name="O_898681"/>
      <w:bookmarkEnd w:id="7"/>
      <w:r w:rsidRPr="00EF3588">
        <w:t>Range of Conditions</w:t>
      </w:r>
    </w:p>
    <w:p w:rsidR="00000000" w:rsidRPr="00EF3588" w:rsidP="00EF3588">
      <w:pPr>
        <w:pStyle w:val="Heading1"/>
      </w:pPr>
      <w:bookmarkStart w:id="8" w:name="O_898682"/>
      <w:bookmarkEnd w:id="8"/>
      <w:r w:rsidRPr="00EF3588">
        <w:t>Unit Mapping Information</w:t>
      </w:r>
    </w:p>
    <w:p w:rsidR="00000000" w:rsidRPr="00EF3588" w:rsidP="006B43EF">
      <w:pPr>
        <w:pStyle w:val="BodyText"/>
      </w:pPr>
      <w:r w:rsidRPr="00EF3588">
        <w:t>This unit is equivalent to MTMP2145C Separate and tie runners</w:t>
      </w:r>
    </w:p>
    <w:p w:rsidR="00000000" w:rsidRPr="00EF3588" w:rsidP="00EF3588">
      <w:pPr>
        <w:pStyle w:val="Heading1"/>
      </w:pPr>
      <w:bookmarkStart w:id="9" w:name="O_898689"/>
      <w:bookmarkEnd w:id="9"/>
      <w:r w:rsidRPr="00EF3588">
        <w:t>Links</w:t>
      </w:r>
    </w:p>
    <w:p w:rsidR="00000000" w:rsidRPr="00EF3588" w:rsidP="006B43EF">
      <w:pPr>
        <w:pStyle w:val="BodyText"/>
      </w:pPr>
      <w:r w:rsidRPr="00EF35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24D6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F3588" w:rsidP="006B43EF">
      <w:pPr>
        <w:pStyle w:val="BodyText"/>
        <w:sectPr w:rsidSect="00EF35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3588" w:rsidP="00EF3588">
      <w:pPr>
        <w:pStyle w:val="SuperHeading"/>
      </w:pPr>
      <w:r w:rsidRPr="00EF3588">
        <w:t>Assessment Requirements for AMPA2117 Separate and tie runners</w:t>
      </w:r>
    </w:p>
    <w:p w:rsidR="00000000" w:rsidRPr="00EF3588" w:rsidP="00EF3588">
      <w:pPr>
        <w:pStyle w:val="Heading1"/>
      </w:pPr>
      <w:bookmarkStart w:id="10" w:name="O_898684"/>
      <w:bookmarkEnd w:id="10"/>
      <w:r w:rsidRPr="00EF35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EF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88">
            <w:pPr>
              <w:pStyle w:val="TableHeading"/>
              <w:rPr>
                <w:lang w:val="en-NZ"/>
              </w:rPr>
            </w:pPr>
            <w:r w:rsidRPr="00EF358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88">
            <w:pPr>
              <w:pStyle w:val="TableHeading"/>
              <w:rPr>
                <w:lang w:val="en-NZ"/>
              </w:rPr>
            </w:pPr>
            <w:r w:rsidRPr="00EF358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88">
            <w:pPr>
              <w:pStyle w:val="TableHeading"/>
              <w:rPr>
                <w:lang w:val="en-NZ"/>
              </w:rPr>
            </w:pPr>
            <w:r w:rsidRPr="00EF3588">
              <w:t>Comment</w:t>
            </w:r>
          </w:p>
        </w:tc>
      </w:tr>
      <w:tr w:rsidTr="00EF3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88">
            <w:pPr>
              <w:pStyle w:val="BodyText"/>
              <w:rPr>
                <w:lang w:val="en-NZ"/>
              </w:rPr>
            </w:pPr>
            <w:r w:rsidRPr="00EF358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588">
            <w:pPr>
              <w:pStyle w:val="BodyText"/>
              <w:rPr>
                <w:lang w:val="en-NZ"/>
              </w:rPr>
            </w:pPr>
            <w:r w:rsidRPr="00EF358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588" w:rsidP="00EF3588">
            <w:pPr>
              <w:pStyle w:val="BodyText"/>
            </w:pPr>
            <w:r w:rsidRPr="00EF3588">
              <w:t>Initial release</w:t>
            </w:r>
          </w:p>
        </w:tc>
      </w:tr>
    </w:tbl>
    <w:p w:rsidR="00000000" w:rsidRPr="00EF3588" w:rsidP="00EF3588">
      <w:pPr>
        <w:pStyle w:val="BodyText"/>
      </w:pPr>
    </w:p>
    <w:p w:rsidR="00000000" w:rsidRPr="00EF3588" w:rsidP="00EF3588">
      <w:pPr>
        <w:pStyle w:val="AllowPageBreak"/>
      </w:pPr>
    </w:p>
    <w:p w:rsidR="00000000" w:rsidRPr="00EF3588" w:rsidP="00EF3588">
      <w:pPr>
        <w:pStyle w:val="Heading1"/>
      </w:pPr>
      <w:bookmarkStart w:id="11" w:name="O_898685"/>
      <w:bookmarkEnd w:id="11"/>
      <w:r w:rsidRPr="00EF3588">
        <w:t>Performance Evidence</w:t>
      </w:r>
    </w:p>
    <w:p w:rsidR="00000000" w:rsidRPr="00EF3588" w:rsidP="006B43EF">
      <w:pPr>
        <w:pStyle w:val="BodyText"/>
      </w:pPr>
      <w:r w:rsidRPr="00EF3588">
        <w:t>The candidate must separate runners from the viscera, inspect for defects or contamination and tie the runners to avoid spillage of contents.</w:t>
      </w:r>
    </w:p>
    <w:p w:rsidR="00000000" w:rsidRPr="00EF3588" w:rsidP="006B43EF">
      <w:pPr>
        <w:pStyle w:val="BodyText"/>
      </w:pPr>
      <w:r w:rsidRPr="00EF3588">
        <w:t xml:space="preserve">The candidate must: </w:t>
      </w:r>
    </w:p>
    <w:p w:rsidR="00000000" w:rsidRPr="00EF3588" w:rsidP="00EF3588">
      <w:pPr>
        <w:pStyle w:val="ListBullet"/>
      </w:pPr>
      <w:r w:rsidRPr="00EF3588">
        <w:t>handle runners in such a way as to avoid bile, ingesta, excreta or content contamination</w:t>
      </w:r>
    </w:p>
    <w:p w:rsidR="00000000" w:rsidRPr="00EF3588" w:rsidP="00EF3588">
      <w:pPr>
        <w:pStyle w:val="ListBullet"/>
      </w:pPr>
      <w:r w:rsidRPr="00EF3588">
        <w:t>identify condemnation marks on runners</w:t>
      </w:r>
    </w:p>
    <w:p w:rsidR="00000000" w:rsidRPr="00EF3588" w:rsidP="00EF3588">
      <w:pPr>
        <w:pStyle w:val="ListBullet"/>
      </w:pPr>
      <w:r w:rsidRPr="00EF3588">
        <w:t>dispose of inedible runners in appropriate bins or chutes</w:t>
      </w:r>
    </w:p>
    <w:p w:rsidR="00000000" w:rsidRPr="00EF3588" w:rsidP="00EF3588">
      <w:pPr>
        <w:pStyle w:val="ListBullet"/>
      </w:pPr>
      <w:r w:rsidRPr="00EF3588">
        <w:t>apply relevant regulatory requirements.</w:t>
      </w:r>
    </w:p>
    <w:p w:rsidR="00000000" w:rsidRPr="00EF3588" w:rsidP="00EF3588">
      <w:pPr>
        <w:pStyle w:val="AllowPageBreak"/>
      </w:pPr>
    </w:p>
    <w:p w:rsidR="00000000" w:rsidRPr="00EF3588" w:rsidP="00EF3588">
      <w:pPr>
        <w:pStyle w:val="Heading1"/>
      </w:pPr>
      <w:bookmarkStart w:id="12" w:name="O_898686"/>
      <w:bookmarkEnd w:id="12"/>
      <w:r w:rsidRPr="00EF3588">
        <w:t>Knowledge Evidence</w:t>
      </w:r>
    </w:p>
    <w:p w:rsidR="00000000" w:rsidRPr="00EF3588" w:rsidP="006B43EF">
      <w:pPr>
        <w:pStyle w:val="BodyText"/>
      </w:pPr>
      <w:r w:rsidRPr="00EF3588">
        <w:t xml:space="preserve">The candidate must demonstrate a basic factual, technical and procedural knowledge </w:t>
      </w:r>
      <w:r w:rsidRPr="00EF3588">
        <w:t xml:space="preserve">of: </w:t>
      </w:r>
    </w:p>
    <w:p w:rsidR="00000000" w:rsidRPr="00EF3588" w:rsidP="00EF3588">
      <w:pPr>
        <w:pStyle w:val="ListBullet"/>
      </w:pPr>
      <w:r w:rsidRPr="00EF3588">
        <w:t>possible sources of contamination</w:t>
      </w:r>
    </w:p>
    <w:p w:rsidR="00000000" w:rsidRPr="00EF3588" w:rsidP="00EF3588">
      <w:pPr>
        <w:pStyle w:val="ListBullet"/>
      </w:pPr>
      <w:r w:rsidRPr="00EF3588">
        <w:t>uses of end runners</w:t>
      </w:r>
    </w:p>
    <w:p w:rsidR="00000000" w:rsidRPr="00EF3588" w:rsidP="00EF3588">
      <w:pPr>
        <w:pStyle w:val="ListBullet"/>
      </w:pPr>
      <w:r w:rsidRPr="00EF3588">
        <w:t>workplace, health and safety and Quality Assurance (QA) requirements related to separating and tying runners</w:t>
      </w:r>
    </w:p>
    <w:p w:rsidR="00000000" w:rsidRPr="00EF3588" w:rsidP="00EF3588">
      <w:pPr>
        <w:pStyle w:val="ListBullet"/>
      </w:pPr>
      <w:r w:rsidRPr="00EF3588">
        <w:t>relevant regulatory requirements.</w:t>
      </w:r>
    </w:p>
    <w:p w:rsidR="00000000" w:rsidRPr="00EF3588" w:rsidP="00EF3588">
      <w:pPr>
        <w:pStyle w:val="AllowPageBreak"/>
      </w:pPr>
    </w:p>
    <w:p w:rsidR="00000000" w:rsidRPr="00EF3588" w:rsidP="00EF3588">
      <w:pPr>
        <w:pStyle w:val="Heading1"/>
      </w:pPr>
      <w:bookmarkStart w:id="13" w:name="O_898687"/>
      <w:bookmarkEnd w:id="13"/>
      <w:r w:rsidRPr="00EF3588">
        <w:t>Assessment Conditions</w:t>
      </w:r>
    </w:p>
    <w:p w:rsidR="00000000" w:rsidRPr="00EF3588" w:rsidP="006B43EF">
      <w:pPr>
        <w:pStyle w:val="BodyText"/>
      </w:pPr>
      <w:r w:rsidRPr="00EF3588">
        <w:t>Assessment mus</w:t>
      </w:r>
      <w:r w:rsidRPr="00EF3588">
        <w:t>t occur in the workplace under normal production conditions.</w:t>
      </w:r>
    </w:p>
    <w:p w:rsidR="00000000" w:rsidRPr="00EF3588" w:rsidP="006B43EF">
      <w:pPr>
        <w:pStyle w:val="BodyText"/>
      </w:pPr>
      <w:r w:rsidRPr="00EF3588">
        <w:t>Competency must be demonstrated at normal chain speed.</w:t>
      </w:r>
    </w:p>
    <w:p w:rsidR="00000000" w:rsidRPr="00EF3588" w:rsidP="006B43EF">
      <w:pPr>
        <w:pStyle w:val="BodyText"/>
      </w:pPr>
      <w:r w:rsidRPr="00EF3588">
        <w:t xml:space="preserve">As a minimum, the following three forms of assessment must be used: </w:t>
      </w:r>
    </w:p>
    <w:p w:rsidR="00000000" w:rsidRPr="00EF3588" w:rsidP="00EF3588">
      <w:pPr>
        <w:pStyle w:val="ListBullet"/>
      </w:pPr>
      <w:r w:rsidRPr="00EF3588">
        <w:t>quiz of underpinning knowledge</w:t>
      </w:r>
    </w:p>
    <w:p w:rsidR="00000000" w:rsidRPr="00EF3588" w:rsidP="00EF3588">
      <w:pPr>
        <w:pStyle w:val="ListBullet"/>
      </w:pPr>
      <w:r w:rsidRPr="00EF3588">
        <w:t xml:space="preserve">workplace demonstration </w:t>
      </w:r>
    </w:p>
    <w:p w:rsidR="00000000" w:rsidRPr="00EF3588" w:rsidP="00EF3588">
      <w:pPr>
        <w:pStyle w:val="ListBullet"/>
      </w:pPr>
      <w:r w:rsidRPr="00EF3588">
        <w:t>workplace referee or third-party report of performance over time</w:t>
      </w:r>
    </w:p>
    <w:p w:rsidR="00000000" w:rsidRPr="00EF3588" w:rsidP="00EF3588">
      <w:pPr>
        <w:pStyle w:val="BodyText"/>
      </w:pPr>
    </w:p>
    <w:p w:rsidR="00000000" w:rsidRPr="00EF3588" w:rsidP="006B43EF">
      <w:pPr>
        <w:pStyle w:val="BodyText"/>
      </w:pPr>
      <w:r w:rsidRPr="00EF3588">
        <w:t>Assessors must satisfy the current standards for RTOs.</w:t>
      </w:r>
    </w:p>
    <w:p w:rsidR="00000000" w:rsidRPr="00EF3588" w:rsidP="00EF3588">
      <w:pPr>
        <w:pStyle w:val="Heading1"/>
      </w:pPr>
      <w:bookmarkStart w:id="14" w:name="O_898690"/>
      <w:bookmarkEnd w:id="14"/>
      <w:r w:rsidRPr="00EF3588">
        <w:t>Links</w:t>
      </w:r>
    </w:p>
    <w:p w:rsidR="00000000" w:rsidRPr="00EF3588" w:rsidP="006B43EF">
      <w:pPr>
        <w:pStyle w:val="BodyText"/>
      </w:pPr>
      <w:r w:rsidRPr="00EF35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24D6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F3588" w:rsidP="00EF3588"/>
    <w:sectPr w:rsidSect="00EF35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88" w:rsidRPr="006B43EF" w:rsidP="006B43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3EF" w:rsidP="00EF3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43EF" w:rsidP="00EF3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43EF" w:rsidP="00EF35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88" w:rsidP="00EF3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43EF">
      <w:t>Approved</w:t>
    </w:r>
    <w:r w:rsidR="006B43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43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43EF">
      <w:rPr>
        <w:noProof/>
      </w:rPr>
      <w:t>4</w:t>
    </w:r>
    <w:r>
      <w:rPr>
        <w:noProof/>
      </w:rPr>
      <w:fldChar w:fldCharType="end"/>
    </w:r>
  </w:p>
  <w:p w:rsidR="00EF3588" w:rsidP="00EF3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43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43EF">
      <w:t>Skills Insight</w:t>
    </w:r>
    <w:r w:rsidR="006B43EF">
      <w:fldChar w:fldCharType="end"/>
    </w:r>
  </w:p>
  <w:p w:rsidR="00EF3588" w:rsidP="00EF35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3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3588" w:rsidRPr="006B43EF" w:rsidP="006B43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3EF" w:rsidRPr="002D2AF8" w:rsidP="00EF3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AMPA2117 Separate and tie runners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B43EF" w:rsidP="00EF35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88" w:rsidRPr="002D2AF8" w:rsidP="00EF3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43EF">
      <w:t>AMPA2117 Separate and tie runners</w:t>
    </w:r>
    <w:r w:rsidR="006B43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43EF">
      <w:rPr>
        <w:noProof/>
      </w:rPr>
      <w:t>1 March 2025</w:t>
    </w:r>
    <w:r>
      <w:fldChar w:fldCharType="end"/>
    </w:r>
  </w:p>
  <w:p w:rsidR="00EF3588" w:rsidP="00EF35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70F6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F42A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5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35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5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5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5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5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5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5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5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5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5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588"/>
  </w:style>
  <w:style w:type="character" w:customStyle="1" w:styleId="Heading1Char">
    <w:name w:val="Heading 1 Char"/>
    <w:basedOn w:val="DefaultParagraphFont"/>
    <w:link w:val="Heading1"/>
    <w:rsid w:val="00EF35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5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5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35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358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F35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F358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F35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35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5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5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3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35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35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5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5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5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5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35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5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35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5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5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35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3588"/>
    <w:rPr>
      <w:b/>
      <w:spacing w:val="0"/>
    </w:rPr>
  </w:style>
  <w:style w:type="paragraph" w:customStyle="1" w:styleId="SuperTitle">
    <w:name w:val="SuperTitle"/>
    <w:basedOn w:val="Title"/>
    <w:rsid w:val="00EF35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5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5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35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35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5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35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5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35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5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5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5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5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3588"/>
    <w:rPr>
      <w:i/>
    </w:rPr>
  </w:style>
  <w:style w:type="paragraph" w:styleId="Caption">
    <w:name w:val="caption"/>
    <w:basedOn w:val="BodyText"/>
    <w:next w:val="Normal"/>
    <w:qFormat/>
    <w:rsid w:val="00EF35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5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5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588"/>
  </w:style>
  <w:style w:type="paragraph" w:styleId="TableofFigures">
    <w:name w:val="table of figures"/>
    <w:basedOn w:val="Normal"/>
    <w:next w:val="Normal"/>
    <w:semiHidden/>
    <w:rsid w:val="00EF35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5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3588"/>
    <w:rPr>
      <w:rFonts w:ascii="Wingdings" w:hAnsi="Wingdings"/>
    </w:rPr>
  </w:style>
  <w:style w:type="character" w:customStyle="1" w:styleId="HotSpot">
    <w:name w:val="HotSpot"/>
    <w:rsid w:val="00EF3588"/>
    <w:rPr>
      <w:color w:val="0033CC"/>
      <w:u w:val="none"/>
    </w:rPr>
  </w:style>
  <w:style w:type="paragraph" w:customStyle="1" w:styleId="BodyTextRight">
    <w:name w:val="Body Text Right"/>
    <w:basedOn w:val="BodyText"/>
    <w:rsid w:val="00EF35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5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5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5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5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5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3588"/>
    <w:rPr>
      <w:sz w:val="32"/>
    </w:rPr>
  </w:style>
  <w:style w:type="paragraph" w:customStyle="1" w:styleId="HeadingProcedure">
    <w:name w:val="Heading Procedure"/>
    <w:basedOn w:val="HeadingBase"/>
    <w:next w:val="Normal"/>
    <w:rsid w:val="00EF35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588"/>
    <w:pPr>
      <w:spacing w:before="60" w:after="60"/>
    </w:pPr>
  </w:style>
  <w:style w:type="paragraph" w:styleId="ListContinue">
    <w:name w:val="List Continue"/>
    <w:basedOn w:val="List"/>
    <w:rsid w:val="00EF3588"/>
    <w:pPr>
      <w:ind w:firstLine="0"/>
    </w:pPr>
  </w:style>
  <w:style w:type="paragraph" w:customStyle="1" w:styleId="ListNote">
    <w:name w:val="List Note"/>
    <w:basedOn w:val="List"/>
    <w:rsid w:val="00EF35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5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5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588"/>
    <w:rPr>
      <w:rFonts w:ascii="Courier New" w:hAnsi="Courier New"/>
    </w:rPr>
  </w:style>
  <w:style w:type="paragraph" w:customStyle="1" w:styleId="NoteBullet">
    <w:name w:val="Note Bullet"/>
    <w:basedOn w:val="Note"/>
    <w:rsid w:val="00EF35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5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5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5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5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35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5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3588"/>
    <w:rPr>
      <w:b/>
      <w:smallCaps/>
    </w:rPr>
  </w:style>
  <w:style w:type="paragraph" w:customStyle="1" w:styleId="TableListNumber">
    <w:name w:val="Table List Number"/>
    <w:basedOn w:val="ListNumber"/>
    <w:rsid w:val="00EF35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5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588"/>
    <w:pPr>
      <w:numPr>
        <w:numId w:val="8"/>
      </w:numPr>
    </w:pPr>
  </w:style>
  <w:style w:type="paragraph" w:customStyle="1" w:styleId="ListAlpha2">
    <w:name w:val="List Alpha 2"/>
    <w:basedOn w:val="List2"/>
    <w:rsid w:val="00EF3588"/>
    <w:pPr>
      <w:numPr>
        <w:numId w:val="7"/>
      </w:numPr>
    </w:pPr>
  </w:style>
  <w:style w:type="paragraph" w:styleId="List2">
    <w:name w:val="List 2"/>
    <w:basedOn w:val="BodyText"/>
    <w:rsid w:val="00EF35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5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5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5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5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5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3588"/>
    <w:pPr>
      <w:numPr>
        <w:numId w:val="3"/>
      </w:numPr>
    </w:pPr>
  </w:style>
  <w:style w:type="paragraph" w:styleId="ListContinue2">
    <w:name w:val="List Continue 2"/>
    <w:basedOn w:val="List2"/>
    <w:rsid w:val="00EF3588"/>
    <w:pPr>
      <w:ind w:firstLine="0"/>
    </w:pPr>
  </w:style>
  <w:style w:type="paragraph" w:styleId="ListContinue3">
    <w:name w:val="List Continue 3"/>
    <w:basedOn w:val="List3"/>
    <w:rsid w:val="00EF3588"/>
    <w:pPr>
      <w:ind w:left="1021" w:firstLine="0"/>
    </w:pPr>
  </w:style>
  <w:style w:type="paragraph" w:styleId="ListContinue4">
    <w:name w:val="List Continue 4"/>
    <w:basedOn w:val="List4"/>
    <w:rsid w:val="00EF3588"/>
    <w:pPr>
      <w:ind w:firstLine="0"/>
    </w:pPr>
  </w:style>
  <w:style w:type="paragraph" w:styleId="ListContinue5">
    <w:name w:val="List Continue 5"/>
    <w:basedOn w:val="List5"/>
    <w:rsid w:val="00EF3588"/>
    <w:pPr>
      <w:ind w:firstLine="0"/>
    </w:pPr>
  </w:style>
  <w:style w:type="paragraph" w:styleId="ListNumber3">
    <w:name w:val="List Number 3"/>
    <w:basedOn w:val="List3"/>
    <w:rsid w:val="00EF3588"/>
    <w:pPr>
      <w:numPr>
        <w:numId w:val="4"/>
      </w:numPr>
    </w:pPr>
  </w:style>
  <w:style w:type="paragraph" w:styleId="ListNumber4">
    <w:name w:val="List Number 4"/>
    <w:basedOn w:val="List4"/>
    <w:rsid w:val="00EF3588"/>
    <w:pPr>
      <w:numPr>
        <w:numId w:val="5"/>
      </w:numPr>
    </w:pPr>
  </w:style>
  <w:style w:type="paragraph" w:styleId="ListNumber5">
    <w:name w:val="List Number 5"/>
    <w:basedOn w:val="List5"/>
    <w:rsid w:val="00EF3588"/>
    <w:pPr>
      <w:numPr>
        <w:numId w:val="6"/>
      </w:numPr>
    </w:pPr>
  </w:style>
  <w:style w:type="paragraph" w:styleId="BlockText">
    <w:name w:val="Block Text"/>
    <w:basedOn w:val="Normal"/>
    <w:rsid w:val="00EF35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5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588"/>
    <w:rPr>
      <w:sz w:val="16"/>
      <w:vertAlign w:val="superscript"/>
    </w:rPr>
  </w:style>
  <w:style w:type="character" w:customStyle="1" w:styleId="Symbols">
    <w:name w:val="Symbols"/>
    <w:basedOn w:val="DefaultParagraphFont"/>
    <w:rsid w:val="00EF3588"/>
    <w:rPr>
      <w:rFonts w:ascii="Symbol" w:hAnsi="Symbol"/>
    </w:rPr>
  </w:style>
  <w:style w:type="character" w:customStyle="1" w:styleId="MenuOptions">
    <w:name w:val="Menu Options"/>
    <w:basedOn w:val="DefaultParagraphFont"/>
    <w:rsid w:val="00EF35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588"/>
    <w:rPr>
      <w:b/>
    </w:rPr>
  </w:style>
  <w:style w:type="character" w:customStyle="1" w:styleId="Underlined">
    <w:name w:val="Underlined"/>
    <w:basedOn w:val="DefaultParagraphFont"/>
    <w:rsid w:val="00EF3588"/>
    <w:rPr>
      <w:u w:val="single"/>
    </w:rPr>
  </w:style>
  <w:style w:type="paragraph" w:customStyle="1" w:styleId="TableBodyTextRight">
    <w:name w:val="Table Body Text Right"/>
    <w:basedOn w:val="TableBodyText"/>
    <w:rsid w:val="00EF35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588"/>
    <w:rPr>
      <w:sz w:val="18"/>
    </w:rPr>
  </w:style>
  <w:style w:type="paragraph" w:customStyle="1" w:styleId="BodySmallRight">
    <w:name w:val="Body Small Right"/>
    <w:basedOn w:val="BodyTextRight"/>
    <w:rsid w:val="00EF3588"/>
    <w:rPr>
      <w:sz w:val="18"/>
      <w:szCs w:val="18"/>
    </w:rPr>
  </w:style>
  <w:style w:type="paragraph" w:customStyle="1" w:styleId="MarginEdition">
    <w:name w:val="Margin Edition"/>
    <w:basedOn w:val="MarginNote"/>
    <w:rsid w:val="00EF35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588"/>
    <w:rPr>
      <w:sz w:val="2"/>
      <w:szCs w:val="2"/>
    </w:rPr>
  </w:style>
  <w:style w:type="character" w:customStyle="1" w:styleId="Small">
    <w:name w:val="Small"/>
    <w:basedOn w:val="DefaultParagraphFont"/>
    <w:rsid w:val="00EF3588"/>
    <w:rPr>
      <w:sz w:val="16"/>
    </w:rPr>
  </w:style>
  <w:style w:type="paragraph" w:customStyle="1" w:styleId="WideTable">
    <w:name w:val="Wide Table"/>
    <w:basedOn w:val="Normal"/>
    <w:rsid w:val="00EF35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588"/>
  </w:style>
  <w:style w:type="paragraph" w:styleId="Quote">
    <w:name w:val="Quote"/>
    <w:basedOn w:val="Heading1"/>
    <w:link w:val="QuoteChar"/>
    <w:qFormat/>
    <w:rsid w:val="00EF35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5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588"/>
    <w:pPr>
      <w:pageBreakBefore/>
    </w:pPr>
  </w:style>
  <w:style w:type="paragraph" w:customStyle="1" w:styleId="Border">
    <w:name w:val="Border"/>
    <w:basedOn w:val="Normal"/>
    <w:qFormat/>
    <w:rsid w:val="00EF35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5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5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5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35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5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5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5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5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588"/>
    <w:rPr>
      <w:u w:val="single"/>
    </w:rPr>
  </w:style>
  <w:style w:type="character" w:customStyle="1" w:styleId="BoldandItalics">
    <w:name w:val="Bold and Italics"/>
    <w:qFormat/>
    <w:rsid w:val="00EF3588"/>
    <w:rPr>
      <w:b/>
      <w:i/>
      <w:u w:val="none"/>
    </w:rPr>
  </w:style>
  <w:style w:type="paragraph" w:styleId="BalloonText">
    <w:name w:val="Balloon Text"/>
    <w:basedOn w:val="Normal"/>
    <w:link w:val="BalloonTextChar"/>
    <w:rsid w:val="00EF3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5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35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5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35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35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3588"/>
    <w:pPr>
      <w:spacing w:before="0" w:after="0"/>
    </w:pPr>
  </w:style>
  <w:style w:type="paragraph" w:customStyle="1" w:styleId="BodyTextBold">
    <w:name w:val="Body Text Bold"/>
    <w:basedOn w:val="BodyText"/>
    <w:qFormat/>
    <w:rsid w:val="00EF3588"/>
    <w:rPr>
      <w:b/>
    </w:rPr>
  </w:style>
  <w:style w:type="character" w:styleId="Hyperlink">
    <w:name w:val="Hyperlink"/>
    <w:basedOn w:val="DefaultParagraphFont"/>
    <w:uiPriority w:val="99"/>
    <w:unhideWhenUsed/>
    <w:rsid w:val="006B43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472</Words>
  <Characters>3033</Characters>
  <Application>Microsoft Office Word</Application>
  <DocSecurity>0</DocSecurity>
  <Lines>121</Lines>
  <Paragraphs>83</Paragraphs>
  <ScaleCrop>false</ScaleCrop>
  <Company>Author-it Software Corporation Ltd.</Company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AMPA2117 Separate and tie runners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2025-03-01T08:42:00Z</dcterms:created>
  <dcterms:modified xsi:type="dcterms:W3CDTF">2025-03-01T08:42:00Z</dcterms:modified>
</cp:coreProperties>
</file>