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3CC" w:rsidP="006B6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AMPA2115 Separate offal</w:t>
      </w:r>
      <w:r>
        <w:fldChar w:fldCharType="end"/>
      </w:r>
    </w:p>
    <w:p w:rsidR="006B63CC" w:rsidP="006B63CC">
      <w:pPr>
        <w:pStyle w:val="Version"/>
        <w:sectPr w:rsidSect="00007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695" w:rsidP="00007695">
      <w:pPr>
        <w:pStyle w:val="SuperHeading"/>
      </w:pPr>
      <w:r w:rsidRPr="00007695">
        <w:t>AMPA2115 Separate offal</w:t>
      </w:r>
    </w:p>
    <w:p w:rsidR="00000000" w:rsidRPr="00007695" w:rsidP="00007695">
      <w:pPr>
        <w:pStyle w:val="Heading1"/>
      </w:pPr>
      <w:bookmarkStart w:id="1" w:name="O_898522"/>
      <w:bookmarkEnd w:id="1"/>
      <w:r w:rsidRPr="00007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07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TableHeading"/>
              <w:rPr>
                <w:lang w:val="en-NZ"/>
              </w:rPr>
            </w:pPr>
            <w:r w:rsidRPr="000076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TableHeading"/>
              <w:rPr>
                <w:lang w:val="en-NZ"/>
              </w:rPr>
            </w:pPr>
            <w:r w:rsidRPr="000076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TableHeading"/>
              <w:rPr>
                <w:lang w:val="en-NZ"/>
              </w:rPr>
            </w:pPr>
            <w:r w:rsidRPr="00007695">
              <w:t>Comment</w:t>
            </w:r>
          </w:p>
        </w:tc>
      </w:tr>
      <w:tr w:rsidTr="00007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BodyText"/>
              <w:rPr>
                <w:lang w:val="en-NZ"/>
              </w:rPr>
            </w:pPr>
            <w:r w:rsidRPr="000076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BodyText"/>
              <w:rPr>
                <w:lang w:val="en-NZ"/>
              </w:rPr>
            </w:pPr>
            <w:r w:rsidRPr="0000769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695" w:rsidP="00007695">
            <w:pPr>
              <w:pStyle w:val="BodyText"/>
            </w:pPr>
            <w:r w:rsidRPr="00007695">
              <w:t>Initial release</w:t>
            </w:r>
          </w:p>
        </w:tc>
      </w:tr>
    </w:tbl>
    <w:p w:rsidR="00000000" w:rsidRPr="00007695" w:rsidP="00007695">
      <w:pPr>
        <w:pStyle w:val="BodyText"/>
      </w:pPr>
    </w:p>
    <w:p w:rsidR="00000000" w:rsidRPr="00007695" w:rsidP="00007695">
      <w:pPr>
        <w:pStyle w:val="AllowPageBreak"/>
      </w:pPr>
    </w:p>
    <w:p w:rsidR="00000000" w:rsidRPr="00007695" w:rsidP="00007695">
      <w:pPr>
        <w:pStyle w:val="Heading1"/>
      </w:pPr>
      <w:bookmarkStart w:id="2" w:name="O_898523"/>
      <w:bookmarkEnd w:id="2"/>
      <w:r w:rsidRPr="00007695">
        <w:t>Application</w:t>
      </w:r>
    </w:p>
    <w:p w:rsidR="00000000" w:rsidRPr="00007695" w:rsidP="006B63CC">
      <w:pPr>
        <w:pStyle w:val="BodyText"/>
      </w:pPr>
      <w:r w:rsidRPr="00007695">
        <w:t xml:space="preserve">This unit describes the skills and knowledge required to separate offal into edible and inedible types (including pet meat). It also involves the identification </w:t>
      </w:r>
      <w:r w:rsidRPr="00007695">
        <w:t>of contamination and defects.</w:t>
      </w:r>
    </w:p>
    <w:p w:rsidR="00000000" w:rsidRPr="00007695" w:rsidP="006B63CC">
      <w:pPr>
        <w:pStyle w:val="BodyText"/>
      </w:pPr>
      <w:r w:rsidRPr="00007695">
        <w:t>This unit is applicable to slaughter floor and wild game processing plant operations noting that wild game offal is either separated into pet food or condemned.</w:t>
      </w:r>
    </w:p>
    <w:p w:rsidR="00000000" w:rsidRPr="00007695" w:rsidP="006B63CC">
      <w:pPr>
        <w:pStyle w:val="BodyText"/>
      </w:pPr>
      <w:r w:rsidRPr="00007695">
        <w:t>All work should be carried out to comply with workplace and hyg</w:t>
      </w:r>
      <w:r w:rsidRPr="00007695">
        <w:t xml:space="preserve">iene requirements. </w:t>
      </w:r>
    </w:p>
    <w:p w:rsidR="00000000" w:rsidRPr="00007695" w:rsidP="006B63CC">
      <w:pPr>
        <w:pStyle w:val="BodyText"/>
      </w:pPr>
      <w:r w:rsidRPr="00007695">
        <w:t>This unit applies to individuals who work under general supervision, exercise limited autonomy and have some accountability for their own work.</w:t>
      </w:r>
    </w:p>
    <w:p w:rsidR="00000000" w:rsidRPr="00007695" w:rsidP="006B63CC">
      <w:pPr>
        <w:pStyle w:val="BodyText"/>
      </w:pPr>
      <w:r w:rsidRPr="00007695">
        <w:t>No occupational licensing, legislative or certification requirements are known to apply to</w:t>
      </w:r>
      <w:r w:rsidRPr="00007695">
        <w:t xml:space="preserve"> this unit at the time of publication.</w:t>
      </w:r>
    </w:p>
    <w:p w:rsidR="00000000" w:rsidRPr="00007695" w:rsidP="006B63CC">
      <w:pPr>
        <w:pStyle w:val="BodyText"/>
      </w:pPr>
      <w:r w:rsidRPr="00007695">
        <w:t>This unit must be delivered and assessed in the context of Australian meat processing standards and regulations.</w:t>
      </w:r>
    </w:p>
    <w:p w:rsidR="00000000" w:rsidRPr="00007695" w:rsidP="00007695">
      <w:pPr>
        <w:pStyle w:val="Heading1"/>
      </w:pPr>
      <w:bookmarkStart w:id="3" w:name="O_898524"/>
      <w:bookmarkEnd w:id="3"/>
      <w:r w:rsidRPr="00007695">
        <w:t>Pre-requisite Unit</w:t>
      </w:r>
    </w:p>
    <w:p w:rsidR="00000000" w:rsidRPr="00007695" w:rsidP="006B63CC">
      <w:pPr>
        <w:pStyle w:val="BodyText"/>
      </w:pPr>
      <w:r w:rsidRPr="00007695">
        <w:t>AMPX209 Sharpen knives</w:t>
      </w:r>
    </w:p>
    <w:p w:rsidR="00000000" w:rsidRPr="00007695" w:rsidP="00007695">
      <w:pPr>
        <w:pStyle w:val="Heading1"/>
      </w:pPr>
      <w:bookmarkStart w:id="4" w:name="O_898526"/>
      <w:bookmarkEnd w:id="4"/>
      <w:r w:rsidRPr="00007695">
        <w:t>Unit Sector</w:t>
      </w:r>
    </w:p>
    <w:p w:rsidR="00000000" w:rsidRPr="00007695" w:rsidP="00007695">
      <w:pPr>
        <w:pStyle w:val="Heading1"/>
      </w:pPr>
      <w:bookmarkStart w:id="5" w:name="O_898527"/>
      <w:bookmarkEnd w:id="5"/>
      <w:r w:rsidRPr="0000769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B63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TableHeading"/>
              <w:rPr>
                <w:lang w:val="en-NZ"/>
              </w:rPr>
            </w:pPr>
            <w:r w:rsidRPr="0000769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TableHeading"/>
              <w:rPr>
                <w:lang w:val="en-NZ"/>
              </w:rPr>
            </w:pPr>
            <w:r w:rsidRPr="00007695">
              <w:t>Performance criteria</w:t>
            </w:r>
          </w:p>
        </w:tc>
      </w:tr>
      <w:tr w:rsidTr="006B63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BodyText"/>
              <w:rPr>
                <w:lang w:val="en-NZ"/>
              </w:rPr>
            </w:pPr>
            <w:r w:rsidRPr="0000769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BodyText"/>
              <w:rPr>
                <w:lang w:val="en-NZ"/>
              </w:rPr>
            </w:pPr>
            <w:r w:rsidRPr="00007695">
              <w:t>Performance criteria describe the performance needed to demonstrate achievement of the element.</w:t>
            </w:r>
          </w:p>
        </w:tc>
      </w:tr>
      <w:tr w:rsidTr="006B63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List"/>
              <w:rPr>
                <w:lang w:val="en-NZ"/>
              </w:rPr>
            </w:pPr>
            <w:r w:rsidRPr="00007695">
              <w:t>1.</w:t>
            </w:r>
            <w:r w:rsidRPr="00007695">
              <w:tab/>
              <w:t>Identify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List"/>
              <w:rPr>
                <w:lang w:val="en-NZ"/>
              </w:rPr>
            </w:pPr>
            <w:r w:rsidRPr="00007695">
              <w:t>1.1</w:t>
            </w:r>
            <w:r w:rsidRPr="00007695">
              <w:tab/>
            </w:r>
            <w:r w:rsidRPr="00007695">
              <w:t>Identify different types of offal, including edible and inedible offal, according to workplace requirements</w:t>
            </w:r>
          </w:p>
        </w:tc>
      </w:tr>
      <w:tr w:rsidTr="006B63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695">
            <w:pPr>
              <w:pStyle w:val="List"/>
              <w:rPr>
                <w:lang w:val="en-NZ"/>
              </w:rPr>
            </w:pPr>
            <w:r w:rsidRPr="00007695">
              <w:t>2.</w:t>
            </w:r>
            <w:r w:rsidRPr="00007695">
              <w:tab/>
              <w:t>Separate offal into edible and inedible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695" w:rsidP="00007695">
            <w:pPr>
              <w:pStyle w:val="List"/>
            </w:pPr>
            <w:r w:rsidRPr="00007695">
              <w:t>2.1</w:t>
            </w:r>
            <w:r w:rsidRPr="00007695">
              <w:tab/>
              <w:t>Separate offal and sort into edible and inedible offal according to workplace requirements</w:t>
            </w:r>
          </w:p>
          <w:p w:rsidR="00000000" w:rsidRPr="00007695" w:rsidP="00007695">
            <w:pPr>
              <w:pStyle w:val="List"/>
            </w:pPr>
            <w:r w:rsidRPr="00007695">
              <w:t>2.2</w:t>
            </w:r>
            <w:r w:rsidRPr="00007695">
              <w:tab/>
              <w:t>Identify offal that is fit for human consumption (where applicable) and pass to appropriate area for processing according to workplace requirements</w:t>
            </w:r>
          </w:p>
          <w:p w:rsidR="00000000" w:rsidRPr="00007695" w:rsidP="00007695">
            <w:pPr>
              <w:pStyle w:val="List"/>
            </w:pPr>
            <w:r w:rsidRPr="00007695">
              <w:t>2.3</w:t>
            </w:r>
            <w:r w:rsidRPr="00007695">
              <w:tab/>
              <w:t>Separate gall bladder from liver</w:t>
            </w:r>
          </w:p>
          <w:p w:rsidR="00000000" w:rsidRPr="00007695" w:rsidP="00007695">
            <w:pPr>
              <w:pStyle w:val="List"/>
            </w:pPr>
            <w:r w:rsidRPr="00007695">
              <w:t>2.4</w:t>
            </w:r>
            <w:r w:rsidRPr="00007695">
              <w:tab/>
              <w:t>Wash offal that may have sustained damage, where applicable</w:t>
            </w:r>
          </w:p>
          <w:p w:rsidR="00000000" w:rsidRPr="00007695" w:rsidP="00007695">
            <w:pPr>
              <w:pStyle w:val="List"/>
            </w:pPr>
            <w:r w:rsidRPr="00007695">
              <w:t>2.5</w:t>
            </w:r>
            <w:r w:rsidRPr="00007695">
              <w:tab/>
              <w:t>Id</w:t>
            </w:r>
            <w:r w:rsidRPr="00007695">
              <w:t>entify condemned offal according to inspection brands or marking</w:t>
            </w:r>
          </w:p>
          <w:p w:rsidR="00000000" w:rsidRPr="00007695" w:rsidP="00007695">
            <w:pPr>
              <w:pStyle w:val="List"/>
            </w:pPr>
            <w:r w:rsidRPr="00007695">
              <w:t>2.6</w:t>
            </w:r>
            <w:r w:rsidRPr="00007695">
              <w:tab/>
              <w:t>Place offal in chutes or bins according to workplace requirements</w:t>
            </w:r>
          </w:p>
        </w:tc>
      </w:tr>
    </w:tbl>
    <w:p w:rsidR="00000000" w:rsidRPr="00007695" w:rsidP="00007695">
      <w:pPr>
        <w:pStyle w:val="BodyText"/>
      </w:pPr>
    </w:p>
    <w:p w:rsidR="00000000" w:rsidRPr="00007695" w:rsidP="00007695">
      <w:pPr>
        <w:pStyle w:val="AllowPageBreak"/>
      </w:pPr>
    </w:p>
    <w:p w:rsidR="00000000" w:rsidRPr="00007695" w:rsidP="00007695">
      <w:pPr>
        <w:pStyle w:val="Heading1"/>
      </w:pPr>
      <w:bookmarkStart w:id="6" w:name="O_898528"/>
      <w:bookmarkEnd w:id="6"/>
      <w:r w:rsidRPr="00007695">
        <w:t>Foundation Skills</w:t>
      </w:r>
    </w:p>
    <w:p w:rsidR="00000000" w:rsidRPr="00007695" w:rsidP="006B63CC">
      <w:pPr>
        <w:pStyle w:val="BodyText"/>
      </w:pPr>
      <w:r w:rsidRPr="00007695">
        <w:t xml:space="preserve">Foundation Skills essential to performance are explicit in the performance criteria </w:t>
      </w:r>
      <w:r w:rsidRPr="00007695">
        <w:t>of this unit of competency.</w:t>
      </w:r>
    </w:p>
    <w:p w:rsidR="00000000" w:rsidRPr="00007695" w:rsidP="00007695">
      <w:pPr>
        <w:pStyle w:val="Heading1"/>
      </w:pPr>
      <w:bookmarkStart w:id="7" w:name="O_898529"/>
      <w:bookmarkEnd w:id="7"/>
      <w:r w:rsidRPr="00007695">
        <w:t>Range of Conditions</w:t>
      </w:r>
    </w:p>
    <w:p w:rsidR="00000000" w:rsidRPr="00007695" w:rsidP="00007695">
      <w:pPr>
        <w:pStyle w:val="Heading1"/>
      </w:pPr>
      <w:bookmarkStart w:id="8" w:name="O_898530"/>
      <w:bookmarkEnd w:id="8"/>
      <w:r w:rsidRPr="00007695">
        <w:t>Unit Mapping Information</w:t>
      </w:r>
    </w:p>
    <w:p w:rsidR="00000000" w:rsidRPr="00007695" w:rsidP="006B63CC">
      <w:pPr>
        <w:pStyle w:val="BodyText"/>
      </w:pPr>
      <w:r w:rsidRPr="00007695">
        <w:t>THis unit is equivalent to MTMP2143C Separate offal</w:t>
      </w:r>
    </w:p>
    <w:p w:rsidR="00000000" w:rsidRPr="00007695" w:rsidP="00007695">
      <w:pPr>
        <w:pStyle w:val="Heading1"/>
      </w:pPr>
      <w:bookmarkStart w:id="9" w:name="O_898537"/>
      <w:bookmarkEnd w:id="9"/>
      <w:r w:rsidRPr="00007695">
        <w:t>Links</w:t>
      </w:r>
    </w:p>
    <w:p w:rsidR="00000000" w:rsidRPr="00007695" w:rsidP="006B63CC">
      <w:pPr>
        <w:pStyle w:val="BodyText"/>
      </w:pPr>
      <w:r w:rsidRPr="00007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43C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7695" w:rsidP="00007695"/>
    <w:sectPr w:rsidSect="00007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95" w:rsidRPr="006B63CC" w:rsidP="006B6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CC" w:rsidP="00007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3CC" w:rsidP="00007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63CC" w:rsidP="00007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695" w:rsidRPr="006B63CC" w:rsidP="006B6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CC" w:rsidRPr="002D2AF8" w:rsidP="00007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AMPA2115 Separate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B63CC" w:rsidP="00007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695"/>
  </w:style>
  <w:style w:type="character" w:customStyle="1" w:styleId="Heading1Char">
    <w:name w:val="Heading 1 Char"/>
    <w:basedOn w:val="DefaultParagraphFont"/>
    <w:link w:val="Heading1"/>
    <w:rsid w:val="00007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6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769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07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76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7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69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76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7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695"/>
    <w:rPr>
      <w:b/>
      <w:spacing w:val="0"/>
    </w:rPr>
  </w:style>
  <w:style w:type="paragraph" w:customStyle="1" w:styleId="SuperTitle">
    <w:name w:val="SuperTitle"/>
    <w:basedOn w:val="Title"/>
    <w:rsid w:val="00007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6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695"/>
    <w:rPr>
      <w:i/>
    </w:rPr>
  </w:style>
  <w:style w:type="paragraph" w:styleId="Caption">
    <w:name w:val="caption"/>
    <w:basedOn w:val="BodyText"/>
    <w:next w:val="Normal"/>
    <w:qFormat/>
    <w:rsid w:val="00007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695"/>
  </w:style>
  <w:style w:type="paragraph" w:styleId="TableofFigures">
    <w:name w:val="table of figures"/>
    <w:basedOn w:val="Normal"/>
    <w:next w:val="Normal"/>
    <w:semiHidden/>
    <w:rsid w:val="00007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6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7695"/>
    <w:rPr>
      <w:rFonts w:ascii="Wingdings" w:hAnsi="Wingdings"/>
    </w:rPr>
  </w:style>
  <w:style w:type="character" w:customStyle="1" w:styleId="HotSpot">
    <w:name w:val="HotSpot"/>
    <w:rsid w:val="00007695"/>
    <w:rPr>
      <w:color w:val="0033CC"/>
      <w:u w:val="none"/>
    </w:rPr>
  </w:style>
  <w:style w:type="paragraph" w:customStyle="1" w:styleId="BodyTextRight">
    <w:name w:val="Body Text Right"/>
    <w:basedOn w:val="BodyText"/>
    <w:rsid w:val="00007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6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695"/>
    <w:rPr>
      <w:sz w:val="32"/>
    </w:rPr>
  </w:style>
  <w:style w:type="paragraph" w:customStyle="1" w:styleId="HeadingProcedure">
    <w:name w:val="Heading Procedure"/>
    <w:basedOn w:val="HeadingBase"/>
    <w:next w:val="Normal"/>
    <w:rsid w:val="00007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695"/>
    <w:pPr>
      <w:spacing w:before="60" w:after="60"/>
    </w:pPr>
  </w:style>
  <w:style w:type="paragraph" w:styleId="ListContinue">
    <w:name w:val="List Continue"/>
    <w:basedOn w:val="List"/>
    <w:rsid w:val="00007695"/>
    <w:pPr>
      <w:ind w:firstLine="0"/>
    </w:pPr>
  </w:style>
  <w:style w:type="paragraph" w:customStyle="1" w:styleId="ListNote">
    <w:name w:val="List Note"/>
    <w:basedOn w:val="List"/>
    <w:rsid w:val="00007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695"/>
    <w:rPr>
      <w:rFonts w:ascii="Courier New" w:hAnsi="Courier New"/>
    </w:rPr>
  </w:style>
  <w:style w:type="paragraph" w:customStyle="1" w:styleId="NoteBullet">
    <w:name w:val="Note Bullet"/>
    <w:basedOn w:val="Note"/>
    <w:rsid w:val="00007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6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7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695"/>
    <w:rPr>
      <w:b/>
      <w:smallCaps/>
    </w:rPr>
  </w:style>
  <w:style w:type="paragraph" w:customStyle="1" w:styleId="TableListNumber">
    <w:name w:val="Table List Number"/>
    <w:basedOn w:val="ListNumber"/>
    <w:rsid w:val="00007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695"/>
    <w:pPr>
      <w:numPr>
        <w:numId w:val="7"/>
      </w:numPr>
    </w:pPr>
  </w:style>
  <w:style w:type="paragraph" w:customStyle="1" w:styleId="ListAlpha2">
    <w:name w:val="List Alpha 2"/>
    <w:basedOn w:val="List2"/>
    <w:rsid w:val="00007695"/>
    <w:pPr>
      <w:numPr>
        <w:numId w:val="6"/>
      </w:numPr>
    </w:pPr>
  </w:style>
  <w:style w:type="paragraph" w:styleId="List2">
    <w:name w:val="List 2"/>
    <w:basedOn w:val="BodyText"/>
    <w:rsid w:val="00007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6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6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7695"/>
    <w:pPr>
      <w:numPr>
        <w:numId w:val="2"/>
      </w:numPr>
    </w:pPr>
  </w:style>
  <w:style w:type="paragraph" w:styleId="ListContinue2">
    <w:name w:val="List Continue 2"/>
    <w:basedOn w:val="List2"/>
    <w:rsid w:val="00007695"/>
    <w:pPr>
      <w:ind w:firstLine="0"/>
    </w:pPr>
  </w:style>
  <w:style w:type="paragraph" w:styleId="ListContinue3">
    <w:name w:val="List Continue 3"/>
    <w:basedOn w:val="List3"/>
    <w:rsid w:val="00007695"/>
    <w:pPr>
      <w:ind w:left="1021" w:firstLine="0"/>
    </w:pPr>
  </w:style>
  <w:style w:type="paragraph" w:styleId="ListContinue4">
    <w:name w:val="List Continue 4"/>
    <w:basedOn w:val="List4"/>
    <w:rsid w:val="00007695"/>
    <w:pPr>
      <w:ind w:firstLine="0"/>
    </w:pPr>
  </w:style>
  <w:style w:type="paragraph" w:styleId="ListContinue5">
    <w:name w:val="List Continue 5"/>
    <w:basedOn w:val="List5"/>
    <w:rsid w:val="00007695"/>
    <w:pPr>
      <w:ind w:firstLine="0"/>
    </w:pPr>
  </w:style>
  <w:style w:type="paragraph" w:styleId="ListNumber3">
    <w:name w:val="List Number 3"/>
    <w:basedOn w:val="List3"/>
    <w:rsid w:val="00007695"/>
    <w:pPr>
      <w:numPr>
        <w:numId w:val="3"/>
      </w:numPr>
    </w:pPr>
  </w:style>
  <w:style w:type="paragraph" w:styleId="ListNumber4">
    <w:name w:val="List Number 4"/>
    <w:basedOn w:val="List4"/>
    <w:rsid w:val="00007695"/>
    <w:pPr>
      <w:numPr>
        <w:numId w:val="4"/>
      </w:numPr>
    </w:pPr>
  </w:style>
  <w:style w:type="paragraph" w:styleId="ListNumber5">
    <w:name w:val="List Number 5"/>
    <w:basedOn w:val="List5"/>
    <w:rsid w:val="00007695"/>
    <w:pPr>
      <w:numPr>
        <w:numId w:val="5"/>
      </w:numPr>
    </w:pPr>
  </w:style>
  <w:style w:type="paragraph" w:styleId="BlockText">
    <w:name w:val="Block Text"/>
    <w:basedOn w:val="Normal"/>
    <w:rsid w:val="00007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695"/>
    <w:rPr>
      <w:sz w:val="16"/>
      <w:vertAlign w:val="superscript"/>
    </w:rPr>
  </w:style>
  <w:style w:type="character" w:customStyle="1" w:styleId="Symbols">
    <w:name w:val="Symbols"/>
    <w:basedOn w:val="DefaultParagraphFont"/>
    <w:rsid w:val="00007695"/>
    <w:rPr>
      <w:rFonts w:ascii="Symbol" w:hAnsi="Symbol"/>
    </w:rPr>
  </w:style>
  <w:style w:type="character" w:customStyle="1" w:styleId="MenuOptions">
    <w:name w:val="Menu Options"/>
    <w:basedOn w:val="DefaultParagraphFont"/>
    <w:rsid w:val="00007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695"/>
    <w:rPr>
      <w:b/>
    </w:rPr>
  </w:style>
  <w:style w:type="character" w:customStyle="1" w:styleId="Underlined">
    <w:name w:val="Underlined"/>
    <w:basedOn w:val="DefaultParagraphFont"/>
    <w:rsid w:val="00007695"/>
    <w:rPr>
      <w:u w:val="single"/>
    </w:rPr>
  </w:style>
  <w:style w:type="paragraph" w:customStyle="1" w:styleId="TableBodyTextRight">
    <w:name w:val="Table Body Text Right"/>
    <w:basedOn w:val="TableBodyText"/>
    <w:rsid w:val="00007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695"/>
    <w:rPr>
      <w:sz w:val="18"/>
    </w:rPr>
  </w:style>
  <w:style w:type="paragraph" w:customStyle="1" w:styleId="BodySmallRight">
    <w:name w:val="Body Small Right"/>
    <w:basedOn w:val="BodyTextRight"/>
    <w:rsid w:val="00007695"/>
    <w:rPr>
      <w:sz w:val="18"/>
      <w:szCs w:val="18"/>
    </w:rPr>
  </w:style>
  <w:style w:type="paragraph" w:customStyle="1" w:styleId="MarginEdition">
    <w:name w:val="Margin Edition"/>
    <w:basedOn w:val="MarginNote"/>
    <w:rsid w:val="00007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695"/>
    <w:rPr>
      <w:sz w:val="2"/>
      <w:szCs w:val="2"/>
    </w:rPr>
  </w:style>
  <w:style w:type="character" w:customStyle="1" w:styleId="Small">
    <w:name w:val="Small"/>
    <w:basedOn w:val="DefaultParagraphFont"/>
    <w:rsid w:val="00007695"/>
    <w:rPr>
      <w:sz w:val="16"/>
    </w:rPr>
  </w:style>
  <w:style w:type="paragraph" w:customStyle="1" w:styleId="WideTable">
    <w:name w:val="Wide Table"/>
    <w:basedOn w:val="Normal"/>
    <w:rsid w:val="00007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695"/>
  </w:style>
  <w:style w:type="paragraph" w:styleId="Quote">
    <w:name w:val="Quote"/>
    <w:basedOn w:val="Heading1"/>
    <w:link w:val="QuoteChar"/>
    <w:qFormat/>
    <w:rsid w:val="00007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695"/>
    <w:pPr>
      <w:pageBreakBefore/>
    </w:pPr>
  </w:style>
  <w:style w:type="paragraph" w:customStyle="1" w:styleId="Border">
    <w:name w:val="Border"/>
    <w:basedOn w:val="Normal"/>
    <w:qFormat/>
    <w:rsid w:val="00007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695"/>
    <w:rPr>
      <w:u w:val="single"/>
    </w:rPr>
  </w:style>
  <w:style w:type="character" w:customStyle="1" w:styleId="BoldandItalics">
    <w:name w:val="Bold and Italics"/>
    <w:qFormat/>
    <w:rsid w:val="00007695"/>
    <w:rPr>
      <w:b/>
      <w:i/>
      <w:u w:val="none"/>
    </w:rPr>
  </w:style>
  <w:style w:type="paragraph" w:styleId="BalloonText">
    <w:name w:val="Balloon Text"/>
    <w:basedOn w:val="Normal"/>
    <w:link w:val="BalloonTextChar"/>
    <w:rsid w:val="00007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695"/>
    <w:pPr>
      <w:spacing w:before="0" w:after="0"/>
    </w:pPr>
  </w:style>
  <w:style w:type="paragraph" w:customStyle="1" w:styleId="BodyTextBold">
    <w:name w:val="Body Text Bold"/>
    <w:basedOn w:val="BodyText"/>
    <w:qFormat/>
    <w:rsid w:val="00007695"/>
    <w:rPr>
      <w:b/>
    </w:rPr>
  </w:style>
  <w:style w:type="character" w:styleId="Hyperlink">
    <w:name w:val="Hyperlink"/>
    <w:basedOn w:val="DefaultParagraphFont"/>
    <w:uiPriority w:val="99"/>
    <w:unhideWhenUsed/>
    <w:rsid w:val="006B6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2108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AMPA2115 Separate offal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