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0A8" w:rsidP="005E7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AMPA2115 Separate offal</w:t>
      </w:r>
      <w:r>
        <w:fldChar w:fldCharType="end"/>
      </w:r>
    </w:p>
    <w:p w:rsidR="005E70A8" w:rsidP="005E70A8">
      <w:pPr>
        <w:pStyle w:val="Version"/>
        <w:sectPr w:rsidSect="00C83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A18" w:rsidP="00C83A18">
      <w:pPr>
        <w:pStyle w:val="SuperHeading"/>
      </w:pPr>
      <w:r w:rsidRPr="00C83A18">
        <w:t>AMPA2115 Separate offal</w:t>
      </w:r>
    </w:p>
    <w:p w:rsidR="00000000" w:rsidRPr="00C83A18" w:rsidP="00C83A18">
      <w:pPr>
        <w:pStyle w:val="Heading1"/>
      </w:pPr>
      <w:bookmarkStart w:id="1" w:name="O_898522"/>
      <w:bookmarkEnd w:id="1"/>
      <w:r w:rsidRPr="00C83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8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Comment</w:t>
            </w:r>
          </w:p>
        </w:tc>
      </w:tr>
      <w:tr w:rsidTr="00C8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BodyText"/>
              <w:rPr>
                <w:lang w:val="en-NZ"/>
              </w:rPr>
            </w:pPr>
            <w:r w:rsidRPr="00C83A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BodyText"/>
              <w:rPr>
                <w:lang w:val="en-NZ"/>
              </w:rPr>
            </w:pPr>
            <w:r w:rsidRPr="00C83A1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A18" w:rsidP="00C83A18">
            <w:pPr>
              <w:pStyle w:val="BodyText"/>
            </w:pPr>
            <w:r w:rsidRPr="00C83A18">
              <w:t>Initial release</w:t>
            </w:r>
          </w:p>
        </w:tc>
      </w:tr>
    </w:tbl>
    <w:p w:rsidR="00000000" w:rsidRPr="00C83A18" w:rsidP="00C83A18">
      <w:pPr>
        <w:pStyle w:val="BodyText"/>
      </w:pPr>
    </w:p>
    <w:p w:rsidR="00000000" w:rsidRPr="00C83A18" w:rsidP="00C83A18">
      <w:pPr>
        <w:pStyle w:val="AllowPageBreak"/>
      </w:pPr>
    </w:p>
    <w:p w:rsidR="00000000" w:rsidRPr="00C83A18" w:rsidP="00C83A18">
      <w:pPr>
        <w:pStyle w:val="Heading1"/>
      </w:pPr>
      <w:bookmarkStart w:id="2" w:name="O_898523"/>
      <w:bookmarkEnd w:id="2"/>
      <w:r w:rsidRPr="00C83A18">
        <w:t>Application</w:t>
      </w:r>
    </w:p>
    <w:p w:rsidR="00000000" w:rsidRPr="00C83A18" w:rsidP="005E70A8">
      <w:pPr>
        <w:pStyle w:val="BodyText"/>
      </w:pPr>
      <w:r w:rsidRPr="00C83A18">
        <w:t xml:space="preserve">This unit describes the skills and knowledge required to separate offal into edible and inedible types (including pet meat). It also involves the identification </w:t>
      </w:r>
      <w:r w:rsidRPr="00C83A18">
        <w:t>of contamination and defects.</w:t>
      </w:r>
    </w:p>
    <w:p w:rsidR="00000000" w:rsidRPr="00C83A18" w:rsidP="005E70A8">
      <w:pPr>
        <w:pStyle w:val="BodyText"/>
      </w:pPr>
      <w:r w:rsidRPr="00C83A18">
        <w:t>This unit is applicable to slaughter floor and wild game processing plant operations noting that wild game offal is either separated into pet food or condemned.</w:t>
      </w:r>
    </w:p>
    <w:p w:rsidR="00000000" w:rsidRPr="00C83A18" w:rsidP="005E70A8">
      <w:pPr>
        <w:pStyle w:val="BodyText"/>
      </w:pPr>
      <w:r w:rsidRPr="00C83A18">
        <w:t>All work should be carried out to comply with workplace and hyg</w:t>
      </w:r>
      <w:r w:rsidRPr="00C83A18">
        <w:t xml:space="preserve">iene requirements. </w:t>
      </w:r>
    </w:p>
    <w:p w:rsidR="00000000" w:rsidRPr="00C83A18" w:rsidP="005E70A8">
      <w:pPr>
        <w:pStyle w:val="BodyText"/>
      </w:pPr>
      <w:r w:rsidRPr="00C83A18">
        <w:t>This unit applies to individuals who work under general supervision, exercise limited autonomy and have some accountability for their own work.</w:t>
      </w:r>
    </w:p>
    <w:p w:rsidR="00000000" w:rsidRPr="00C83A18" w:rsidP="005E70A8">
      <w:pPr>
        <w:pStyle w:val="BodyText"/>
      </w:pPr>
      <w:r w:rsidRPr="00C83A18">
        <w:t>No occupational licensing, legislative or certification requirements are known to apply to</w:t>
      </w:r>
      <w:r w:rsidRPr="00C83A18">
        <w:t xml:space="preserve"> this unit at the time of publication.</w:t>
      </w:r>
    </w:p>
    <w:p w:rsidR="00000000" w:rsidRPr="00C83A18" w:rsidP="005E70A8">
      <w:pPr>
        <w:pStyle w:val="BodyText"/>
      </w:pPr>
      <w:r w:rsidRPr="00C83A18">
        <w:t>This unit must be delivered and assessed in the context of Australian meat processing standards and regulations.</w:t>
      </w:r>
    </w:p>
    <w:p w:rsidR="00000000" w:rsidRPr="00C83A18" w:rsidP="00C83A18">
      <w:pPr>
        <w:pStyle w:val="Heading1"/>
      </w:pPr>
      <w:bookmarkStart w:id="3" w:name="O_898524"/>
      <w:bookmarkEnd w:id="3"/>
      <w:r w:rsidRPr="00C83A18">
        <w:t>Pre-requisite Unit</w:t>
      </w:r>
    </w:p>
    <w:p w:rsidR="00000000" w:rsidRPr="00C83A18" w:rsidP="005E70A8">
      <w:pPr>
        <w:pStyle w:val="BodyText"/>
      </w:pPr>
      <w:r w:rsidRPr="00C83A18">
        <w:t>AMPX209 Sharpen knives</w:t>
      </w:r>
    </w:p>
    <w:p w:rsidR="00000000" w:rsidRPr="00C83A18" w:rsidP="00C83A18">
      <w:pPr>
        <w:pStyle w:val="Heading1"/>
      </w:pPr>
      <w:bookmarkStart w:id="4" w:name="O_898526"/>
      <w:bookmarkEnd w:id="4"/>
      <w:r w:rsidRPr="00C83A18">
        <w:t>Unit Sector</w:t>
      </w:r>
    </w:p>
    <w:p w:rsidR="00000000" w:rsidRPr="00C83A18" w:rsidP="00C83A18">
      <w:pPr>
        <w:pStyle w:val="Heading1"/>
      </w:pPr>
      <w:bookmarkStart w:id="5" w:name="O_898527"/>
      <w:bookmarkEnd w:id="5"/>
      <w:r w:rsidRPr="00C83A1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E70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Performance criteria</w:t>
            </w:r>
          </w:p>
        </w:tc>
      </w:tr>
      <w:tr w:rsidTr="005E70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BodyText"/>
              <w:rPr>
                <w:lang w:val="en-NZ"/>
              </w:rPr>
            </w:pPr>
            <w:r w:rsidRPr="00C83A1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BodyText"/>
              <w:rPr>
                <w:lang w:val="en-NZ"/>
              </w:rPr>
            </w:pPr>
            <w:r w:rsidRPr="00C83A18">
              <w:t>Performance criteria describe the performance needed to demonstrate achievement of the element.</w:t>
            </w:r>
          </w:p>
        </w:tc>
      </w:tr>
      <w:tr w:rsidTr="005E70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List"/>
              <w:rPr>
                <w:lang w:val="en-NZ"/>
              </w:rPr>
            </w:pPr>
            <w:r w:rsidRPr="00C83A18">
              <w:t>1.</w:t>
            </w:r>
            <w:r w:rsidRPr="00C83A18">
              <w:tab/>
              <w:t>Identify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List"/>
              <w:rPr>
                <w:lang w:val="en-NZ"/>
              </w:rPr>
            </w:pPr>
            <w:r w:rsidRPr="00C83A18">
              <w:t>1.1</w:t>
            </w:r>
            <w:r w:rsidRPr="00C83A18">
              <w:tab/>
            </w:r>
            <w:r w:rsidRPr="00C83A18">
              <w:t>Identify different types of offal, including edible and inedible offal, according to workplace requirements</w:t>
            </w:r>
          </w:p>
        </w:tc>
      </w:tr>
      <w:tr w:rsidTr="005E70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List"/>
              <w:rPr>
                <w:lang w:val="en-NZ"/>
              </w:rPr>
            </w:pPr>
            <w:r w:rsidRPr="00C83A18">
              <w:t>2.</w:t>
            </w:r>
            <w:r w:rsidRPr="00C83A18">
              <w:tab/>
              <w:t>Separate offal into edible and inedible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A18" w:rsidP="00C83A18">
            <w:pPr>
              <w:pStyle w:val="List"/>
            </w:pPr>
            <w:r w:rsidRPr="00C83A18">
              <w:t>2.1</w:t>
            </w:r>
            <w:r w:rsidRPr="00C83A18">
              <w:tab/>
              <w:t>Separate offal and sort into edible and inedible offal according to workplace requirements</w:t>
            </w:r>
          </w:p>
          <w:p w:rsidR="00000000" w:rsidRPr="00C83A18" w:rsidP="00C83A18">
            <w:pPr>
              <w:pStyle w:val="List"/>
            </w:pPr>
            <w:r w:rsidRPr="00C83A18">
              <w:t>2.2</w:t>
            </w:r>
            <w:r w:rsidRPr="00C83A18">
              <w:tab/>
              <w:t>Identify offal that is fit for human consumption (where applicable) and pass to appropriate area for processing according to workplace requirements</w:t>
            </w:r>
          </w:p>
          <w:p w:rsidR="00000000" w:rsidRPr="00C83A18" w:rsidP="00C83A18">
            <w:pPr>
              <w:pStyle w:val="List"/>
            </w:pPr>
            <w:r w:rsidRPr="00C83A18">
              <w:t>2.3</w:t>
            </w:r>
            <w:r w:rsidRPr="00C83A18">
              <w:tab/>
              <w:t>Separate gall bladder from liver</w:t>
            </w:r>
          </w:p>
          <w:p w:rsidR="00000000" w:rsidRPr="00C83A18" w:rsidP="00C83A18">
            <w:pPr>
              <w:pStyle w:val="List"/>
            </w:pPr>
            <w:r w:rsidRPr="00C83A18">
              <w:t>2.4</w:t>
            </w:r>
            <w:r w:rsidRPr="00C83A18">
              <w:tab/>
              <w:t>Wash offal that may have sustained damage, where applicable</w:t>
            </w:r>
          </w:p>
          <w:p w:rsidR="00000000" w:rsidRPr="00C83A18" w:rsidP="00C83A18">
            <w:pPr>
              <w:pStyle w:val="List"/>
            </w:pPr>
            <w:r w:rsidRPr="00C83A18">
              <w:t>2.5</w:t>
            </w:r>
            <w:r w:rsidRPr="00C83A18">
              <w:tab/>
              <w:t>Id</w:t>
            </w:r>
            <w:r w:rsidRPr="00C83A18">
              <w:t>entify condemned offal according to inspection brands or marking</w:t>
            </w:r>
          </w:p>
          <w:p w:rsidR="00000000" w:rsidRPr="00C83A18" w:rsidP="00C83A18">
            <w:pPr>
              <w:pStyle w:val="List"/>
            </w:pPr>
            <w:r w:rsidRPr="00C83A18">
              <w:t>2.6</w:t>
            </w:r>
            <w:r w:rsidRPr="00C83A18">
              <w:tab/>
              <w:t>Place offal in chutes or bins according to workplace requirements</w:t>
            </w:r>
          </w:p>
        </w:tc>
      </w:tr>
    </w:tbl>
    <w:p w:rsidR="00000000" w:rsidRPr="00C83A18" w:rsidP="00C83A18">
      <w:pPr>
        <w:pStyle w:val="BodyText"/>
      </w:pPr>
    </w:p>
    <w:p w:rsidR="00000000" w:rsidRPr="00C83A18" w:rsidP="00C83A18">
      <w:pPr>
        <w:pStyle w:val="AllowPageBreak"/>
      </w:pPr>
    </w:p>
    <w:p w:rsidR="00000000" w:rsidRPr="00C83A18" w:rsidP="00C83A18">
      <w:pPr>
        <w:pStyle w:val="Heading1"/>
      </w:pPr>
      <w:bookmarkStart w:id="6" w:name="O_898528"/>
      <w:bookmarkEnd w:id="6"/>
      <w:r w:rsidRPr="00C83A18">
        <w:t>Foundation Skills</w:t>
      </w:r>
    </w:p>
    <w:p w:rsidR="00000000" w:rsidRPr="00C83A18" w:rsidP="005E70A8">
      <w:pPr>
        <w:pStyle w:val="BodyText"/>
      </w:pPr>
      <w:r w:rsidRPr="00C83A18">
        <w:t xml:space="preserve">Foundation Skills essential to performance are explicit in the performance criteria </w:t>
      </w:r>
      <w:r w:rsidRPr="00C83A18">
        <w:t>of this unit of competency.</w:t>
      </w:r>
    </w:p>
    <w:p w:rsidR="00000000" w:rsidRPr="00C83A18" w:rsidP="00C83A18">
      <w:pPr>
        <w:pStyle w:val="Heading1"/>
      </w:pPr>
      <w:bookmarkStart w:id="7" w:name="O_898529"/>
      <w:bookmarkEnd w:id="7"/>
      <w:r w:rsidRPr="00C83A18">
        <w:t>Range of Conditions</w:t>
      </w:r>
    </w:p>
    <w:p w:rsidR="00000000" w:rsidRPr="00C83A18" w:rsidP="00C83A18">
      <w:pPr>
        <w:pStyle w:val="Heading1"/>
      </w:pPr>
      <w:bookmarkStart w:id="8" w:name="O_898530"/>
      <w:bookmarkEnd w:id="8"/>
      <w:r w:rsidRPr="00C83A18">
        <w:t>Unit Mapping Information</w:t>
      </w:r>
    </w:p>
    <w:p w:rsidR="00000000" w:rsidRPr="00C83A18" w:rsidP="005E70A8">
      <w:pPr>
        <w:pStyle w:val="BodyText"/>
      </w:pPr>
      <w:r w:rsidRPr="00C83A18">
        <w:t>THis unit is equivalent to MTMP2143C Separate offal</w:t>
      </w:r>
    </w:p>
    <w:p w:rsidR="00000000" w:rsidRPr="00C83A18" w:rsidP="00C83A18">
      <w:pPr>
        <w:pStyle w:val="Heading1"/>
      </w:pPr>
      <w:bookmarkStart w:id="9" w:name="O_898537"/>
      <w:bookmarkEnd w:id="9"/>
      <w:r w:rsidRPr="00C83A18">
        <w:t>Links</w:t>
      </w:r>
    </w:p>
    <w:p w:rsidR="00000000" w:rsidRPr="00C83A18" w:rsidP="005E70A8">
      <w:pPr>
        <w:pStyle w:val="BodyText"/>
      </w:pPr>
      <w:r w:rsidRPr="00C83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4E4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83A18" w:rsidP="005E70A8">
      <w:pPr>
        <w:pStyle w:val="BodyText"/>
        <w:sectPr w:rsidSect="00C83A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A18" w:rsidP="00C83A18">
      <w:pPr>
        <w:pStyle w:val="SuperHeading"/>
      </w:pPr>
      <w:r w:rsidRPr="00C83A18">
        <w:t>Assessment Requirements for AMPA2115 Separate offal</w:t>
      </w:r>
    </w:p>
    <w:p w:rsidR="00000000" w:rsidRPr="00C83A18" w:rsidP="00C83A18">
      <w:pPr>
        <w:pStyle w:val="Heading1"/>
      </w:pPr>
      <w:bookmarkStart w:id="10" w:name="O_898532"/>
      <w:bookmarkEnd w:id="10"/>
      <w:r w:rsidRPr="00C83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8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TableHeading"/>
              <w:rPr>
                <w:lang w:val="en-NZ"/>
              </w:rPr>
            </w:pPr>
            <w:r w:rsidRPr="00C83A18">
              <w:t>Comment</w:t>
            </w:r>
          </w:p>
        </w:tc>
      </w:tr>
      <w:tr w:rsidTr="00C8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BodyText"/>
              <w:rPr>
                <w:lang w:val="en-NZ"/>
              </w:rPr>
            </w:pPr>
            <w:r w:rsidRPr="00C83A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A18">
            <w:pPr>
              <w:pStyle w:val="BodyText"/>
              <w:rPr>
                <w:lang w:val="en-NZ"/>
              </w:rPr>
            </w:pPr>
            <w:r w:rsidRPr="00C83A1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A18" w:rsidP="00C83A18">
            <w:pPr>
              <w:pStyle w:val="BodyText"/>
            </w:pPr>
            <w:r w:rsidRPr="00C83A18">
              <w:t>Initial release</w:t>
            </w:r>
          </w:p>
        </w:tc>
      </w:tr>
    </w:tbl>
    <w:p w:rsidR="00000000" w:rsidRPr="00C83A18" w:rsidP="00C83A18">
      <w:pPr>
        <w:pStyle w:val="BodyText"/>
      </w:pPr>
    </w:p>
    <w:p w:rsidR="00000000" w:rsidRPr="00C83A18" w:rsidP="00C83A18">
      <w:pPr>
        <w:pStyle w:val="AllowPageBreak"/>
      </w:pPr>
    </w:p>
    <w:p w:rsidR="00000000" w:rsidRPr="00C83A18" w:rsidP="00C83A18">
      <w:pPr>
        <w:pStyle w:val="Heading1"/>
      </w:pPr>
      <w:bookmarkStart w:id="11" w:name="O_898533"/>
      <w:bookmarkEnd w:id="11"/>
      <w:r w:rsidRPr="00C83A18">
        <w:t>Performance Evidence</w:t>
      </w:r>
    </w:p>
    <w:p w:rsidR="00000000" w:rsidRPr="00C83A18" w:rsidP="005E70A8">
      <w:pPr>
        <w:pStyle w:val="BodyText"/>
      </w:pPr>
      <w:r w:rsidRPr="00C83A18">
        <w:t>The candidate must separate offal into edible and inedible types (including pet meat).</w:t>
      </w:r>
    </w:p>
    <w:p w:rsidR="00000000" w:rsidRPr="00C83A18" w:rsidP="005E70A8">
      <w:pPr>
        <w:pStyle w:val="BodyText"/>
      </w:pPr>
      <w:r w:rsidRPr="00C83A18">
        <w:t xml:space="preserve">The candidate must: </w:t>
      </w:r>
    </w:p>
    <w:p w:rsidR="00000000" w:rsidRPr="00C83A18" w:rsidP="00C83A18">
      <w:pPr>
        <w:pStyle w:val="ListBullet"/>
      </w:pPr>
      <w:r w:rsidRPr="00C83A18">
        <w:t>identify the various organs processed on the viscera table</w:t>
      </w:r>
    </w:p>
    <w:p w:rsidR="00000000" w:rsidRPr="00C83A18" w:rsidP="00C83A18">
      <w:pPr>
        <w:pStyle w:val="ListBullet"/>
      </w:pPr>
      <w:r w:rsidRPr="00C83A18">
        <w:t>separate offal to hygiene and sanitation, workplace, Quality Assurance (QA) and workplace health and safety requirements</w:t>
      </w:r>
    </w:p>
    <w:p w:rsidR="00000000" w:rsidRPr="00C83A18" w:rsidP="00C83A18">
      <w:pPr>
        <w:pStyle w:val="ListBullet"/>
      </w:pPr>
      <w:r w:rsidRPr="00C83A18">
        <w:t>identify condemnation marks on offal</w:t>
      </w:r>
    </w:p>
    <w:p w:rsidR="00000000" w:rsidRPr="00C83A18" w:rsidP="00C83A18">
      <w:pPr>
        <w:pStyle w:val="ListBullet"/>
      </w:pPr>
      <w:r w:rsidRPr="00C83A18">
        <w:t>handle offal to avoid bile, ingesta, excreta or content contamination</w:t>
      </w:r>
    </w:p>
    <w:p w:rsidR="00000000" w:rsidRPr="00C83A18" w:rsidP="00C83A18">
      <w:pPr>
        <w:pStyle w:val="ListBullet"/>
      </w:pPr>
      <w:r w:rsidRPr="00C83A18">
        <w:t>dispose of inedible offal in</w:t>
      </w:r>
      <w:r w:rsidRPr="00C83A18">
        <w:t xml:space="preserve"> appropriate bins or chutes</w:t>
      </w:r>
    </w:p>
    <w:p w:rsidR="00000000" w:rsidRPr="00C83A18" w:rsidP="00C83A18">
      <w:pPr>
        <w:pStyle w:val="ListBullet"/>
      </w:pPr>
      <w:r w:rsidRPr="00C83A18">
        <w:t>apply relevant regulatory requirements</w:t>
      </w:r>
    </w:p>
    <w:p w:rsidR="00000000" w:rsidRPr="00C83A18" w:rsidP="00C83A18">
      <w:pPr>
        <w:pStyle w:val="AllowPageBreak"/>
      </w:pPr>
    </w:p>
    <w:p w:rsidR="00000000" w:rsidRPr="00C83A18" w:rsidP="00C83A18">
      <w:pPr>
        <w:pStyle w:val="Heading1"/>
      </w:pPr>
      <w:bookmarkStart w:id="12" w:name="O_898534"/>
      <w:bookmarkEnd w:id="12"/>
      <w:r w:rsidRPr="00C83A18">
        <w:t>Knowledge Evidence</w:t>
      </w:r>
    </w:p>
    <w:p w:rsidR="00000000" w:rsidRPr="00C83A18" w:rsidP="005E70A8">
      <w:pPr>
        <w:pStyle w:val="BodyText"/>
      </w:pPr>
      <w:r w:rsidRPr="00C83A18">
        <w:t xml:space="preserve">The candidate must demonstrate a basic factual, technical and procedural knowledge of: </w:t>
      </w:r>
    </w:p>
    <w:p w:rsidR="00000000" w:rsidRPr="00C83A18" w:rsidP="00C83A18">
      <w:pPr>
        <w:pStyle w:val="ListBullet"/>
      </w:pPr>
      <w:r w:rsidRPr="00C83A18">
        <w:t>hygiene and sanitation, workplace, QA and workplace health and safety requirements associated with separating offal on the slaughter floor</w:t>
      </w:r>
    </w:p>
    <w:p w:rsidR="00000000" w:rsidRPr="00C83A18" w:rsidP="00C83A18">
      <w:pPr>
        <w:pStyle w:val="ListBullet"/>
      </w:pPr>
      <w:r w:rsidRPr="00C83A18">
        <w:t>impact of contamination of edible offal on further processing</w:t>
      </w:r>
    </w:p>
    <w:p w:rsidR="00000000" w:rsidRPr="00C83A18" w:rsidP="00C83A18">
      <w:pPr>
        <w:pStyle w:val="ListBullet"/>
      </w:pPr>
      <w:r w:rsidRPr="00C83A18">
        <w:t>importance of accurate separation of offal on the visce</w:t>
      </w:r>
      <w:r w:rsidRPr="00C83A18">
        <w:t>ra table</w:t>
      </w:r>
    </w:p>
    <w:p w:rsidR="00000000" w:rsidRPr="00C83A18" w:rsidP="00C83A18">
      <w:pPr>
        <w:pStyle w:val="ListBullet"/>
      </w:pPr>
      <w:r w:rsidRPr="00C83A18">
        <w:t>relevant regulatory requirements</w:t>
      </w:r>
    </w:p>
    <w:p w:rsidR="00000000" w:rsidRPr="00C83A18" w:rsidP="00C83A18">
      <w:pPr>
        <w:pStyle w:val="AllowPageBreak"/>
      </w:pPr>
    </w:p>
    <w:p w:rsidR="00000000" w:rsidRPr="00C83A18" w:rsidP="00C83A18">
      <w:pPr>
        <w:pStyle w:val="Heading1"/>
      </w:pPr>
      <w:bookmarkStart w:id="13" w:name="O_898535"/>
      <w:bookmarkEnd w:id="13"/>
      <w:r w:rsidRPr="00C83A18">
        <w:t>Assessment Conditions</w:t>
      </w:r>
    </w:p>
    <w:p w:rsidR="00000000" w:rsidRPr="00C83A18" w:rsidP="005E70A8">
      <w:pPr>
        <w:pStyle w:val="BodyText"/>
      </w:pPr>
      <w:r w:rsidRPr="00C83A18">
        <w:t>Competency must be demonstrated at normal chain speed.</w:t>
      </w:r>
    </w:p>
    <w:p w:rsidR="00000000" w:rsidRPr="00C83A18" w:rsidP="005E70A8">
      <w:pPr>
        <w:pStyle w:val="BodyText"/>
      </w:pPr>
      <w:r w:rsidRPr="00C83A18">
        <w:t>Assessment must occur in the workplace under normal production conditions.</w:t>
      </w:r>
    </w:p>
    <w:p w:rsidR="00000000" w:rsidRPr="00C83A18" w:rsidP="005E70A8">
      <w:pPr>
        <w:pStyle w:val="BodyText"/>
      </w:pPr>
      <w:r w:rsidRPr="00C83A18">
        <w:t xml:space="preserve">As a minimum, the following three forms of </w:t>
      </w:r>
      <w:r w:rsidRPr="00C83A18">
        <w:t xml:space="preserve">assessment must be used: </w:t>
      </w:r>
    </w:p>
    <w:p w:rsidR="00000000" w:rsidRPr="00C83A18" w:rsidP="00C83A18">
      <w:pPr>
        <w:pStyle w:val="ListBullet"/>
      </w:pPr>
      <w:r w:rsidRPr="00C83A18">
        <w:t>quiz of underpinning knowledge</w:t>
      </w:r>
    </w:p>
    <w:p w:rsidR="00000000" w:rsidRPr="00C83A18" w:rsidP="00C83A18">
      <w:pPr>
        <w:pStyle w:val="ListBullet"/>
      </w:pPr>
      <w:r w:rsidRPr="00C83A18">
        <w:t xml:space="preserve">workplace demonstration </w:t>
      </w:r>
    </w:p>
    <w:p w:rsidR="00000000" w:rsidRPr="00C83A18" w:rsidP="00C83A18">
      <w:pPr>
        <w:pStyle w:val="ListBullet"/>
      </w:pPr>
      <w:r w:rsidRPr="00C83A18">
        <w:t>workplace referee or third-party report of performance over time</w:t>
      </w:r>
    </w:p>
    <w:p w:rsidR="00000000" w:rsidRPr="00C83A18" w:rsidP="00C83A18">
      <w:pPr>
        <w:pStyle w:val="BodyText"/>
      </w:pPr>
    </w:p>
    <w:p w:rsidR="00000000" w:rsidRPr="00C83A18" w:rsidP="005E70A8">
      <w:pPr>
        <w:pStyle w:val="BodyText"/>
      </w:pPr>
      <w:r w:rsidRPr="00C83A18">
        <w:t>Assessors must satisfy the current standards for RTOs.</w:t>
      </w:r>
    </w:p>
    <w:p w:rsidR="00000000" w:rsidRPr="00C83A18" w:rsidP="00C83A18">
      <w:pPr>
        <w:pStyle w:val="Heading1"/>
      </w:pPr>
      <w:bookmarkStart w:id="14" w:name="O_898538"/>
      <w:bookmarkEnd w:id="14"/>
      <w:r w:rsidRPr="00C83A18">
        <w:t>Links</w:t>
      </w:r>
    </w:p>
    <w:p w:rsidR="00000000" w:rsidRPr="00C83A18" w:rsidP="005E70A8">
      <w:pPr>
        <w:pStyle w:val="BodyText"/>
      </w:pPr>
      <w:r w:rsidRPr="00C83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4E4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83A18" w:rsidP="00C83A18"/>
    <w:sectPr w:rsidSect="00C83A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8" w:rsidRPr="005E70A8" w:rsidP="005E7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A8" w:rsidP="00C83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0A8" w:rsidP="00C83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70A8" w:rsidP="00C83A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8" w:rsidP="00C83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70A8">
      <w:t>Approved</w:t>
    </w:r>
    <w:r w:rsidR="005E70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70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70A8">
      <w:rPr>
        <w:noProof/>
      </w:rPr>
      <w:t>4</w:t>
    </w:r>
    <w:r>
      <w:rPr>
        <w:noProof/>
      </w:rPr>
      <w:fldChar w:fldCharType="end"/>
    </w:r>
  </w:p>
  <w:p w:rsidR="00C83A18" w:rsidP="00C83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70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70A8">
      <w:t>Skills Insight</w:t>
    </w:r>
    <w:r w:rsidR="005E70A8">
      <w:fldChar w:fldCharType="end"/>
    </w:r>
  </w:p>
  <w:p w:rsidR="00C83A18" w:rsidP="00C83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A18" w:rsidRPr="005E70A8" w:rsidP="005E7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A8" w:rsidRPr="002D2AF8" w:rsidP="00C83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AMPA2115 Separate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70A8" w:rsidP="00C83A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8" w:rsidRPr="002D2AF8" w:rsidP="00C83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70A8">
      <w:t>AMPA2115 Separate offal</w:t>
    </w:r>
    <w:r w:rsidR="005E70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70A8">
      <w:rPr>
        <w:noProof/>
      </w:rPr>
      <w:t>2 March 2025</w:t>
    </w:r>
    <w:r>
      <w:fldChar w:fldCharType="end"/>
    </w:r>
  </w:p>
  <w:p w:rsidR="00C83A18" w:rsidP="00C83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65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48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A18"/>
  </w:style>
  <w:style w:type="character" w:customStyle="1" w:styleId="Heading1Char">
    <w:name w:val="Heading 1 Char"/>
    <w:basedOn w:val="DefaultParagraphFont"/>
    <w:link w:val="Heading1"/>
    <w:rsid w:val="00C83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A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3A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A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3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3A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3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A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3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A18"/>
    <w:rPr>
      <w:b/>
      <w:spacing w:val="0"/>
    </w:rPr>
  </w:style>
  <w:style w:type="paragraph" w:customStyle="1" w:styleId="SuperTitle">
    <w:name w:val="SuperTitle"/>
    <w:basedOn w:val="Title"/>
    <w:rsid w:val="00C83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A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A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A18"/>
    <w:rPr>
      <w:i/>
    </w:rPr>
  </w:style>
  <w:style w:type="paragraph" w:styleId="Caption">
    <w:name w:val="caption"/>
    <w:basedOn w:val="BodyText"/>
    <w:next w:val="Normal"/>
    <w:qFormat/>
    <w:rsid w:val="00C83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A18"/>
  </w:style>
  <w:style w:type="paragraph" w:styleId="TableofFigures">
    <w:name w:val="table of figures"/>
    <w:basedOn w:val="Normal"/>
    <w:next w:val="Normal"/>
    <w:semiHidden/>
    <w:rsid w:val="00C83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A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A18"/>
    <w:rPr>
      <w:rFonts w:ascii="Wingdings" w:hAnsi="Wingdings"/>
    </w:rPr>
  </w:style>
  <w:style w:type="character" w:customStyle="1" w:styleId="HotSpot">
    <w:name w:val="HotSpot"/>
    <w:rsid w:val="00C83A18"/>
    <w:rPr>
      <w:color w:val="0033CC"/>
      <w:u w:val="none"/>
    </w:rPr>
  </w:style>
  <w:style w:type="paragraph" w:customStyle="1" w:styleId="BodyTextRight">
    <w:name w:val="Body Text Right"/>
    <w:basedOn w:val="BodyText"/>
    <w:rsid w:val="00C83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A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A18"/>
    <w:rPr>
      <w:sz w:val="32"/>
    </w:rPr>
  </w:style>
  <w:style w:type="paragraph" w:customStyle="1" w:styleId="HeadingProcedure">
    <w:name w:val="Heading Procedure"/>
    <w:basedOn w:val="HeadingBase"/>
    <w:next w:val="Normal"/>
    <w:rsid w:val="00C83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A18"/>
    <w:pPr>
      <w:spacing w:before="60" w:after="60"/>
    </w:pPr>
  </w:style>
  <w:style w:type="paragraph" w:styleId="ListContinue">
    <w:name w:val="List Continue"/>
    <w:basedOn w:val="List"/>
    <w:rsid w:val="00C83A18"/>
    <w:pPr>
      <w:ind w:firstLine="0"/>
    </w:pPr>
  </w:style>
  <w:style w:type="paragraph" w:customStyle="1" w:styleId="ListNote">
    <w:name w:val="List Note"/>
    <w:basedOn w:val="List"/>
    <w:rsid w:val="00C83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A18"/>
    <w:rPr>
      <w:rFonts w:ascii="Courier New" w:hAnsi="Courier New"/>
    </w:rPr>
  </w:style>
  <w:style w:type="paragraph" w:customStyle="1" w:styleId="NoteBullet">
    <w:name w:val="Note Bullet"/>
    <w:basedOn w:val="Note"/>
    <w:rsid w:val="00C83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A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A18"/>
    <w:rPr>
      <w:b/>
      <w:smallCaps/>
    </w:rPr>
  </w:style>
  <w:style w:type="paragraph" w:customStyle="1" w:styleId="TableListNumber">
    <w:name w:val="Table List Number"/>
    <w:basedOn w:val="ListNumber"/>
    <w:rsid w:val="00C83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A18"/>
    <w:pPr>
      <w:numPr>
        <w:numId w:val="8"/>
      </w:numPr>
    </w:pPr>
  </w:style>
  <w:style w:type="paragraph" w:customStyle="1" w:styleId="ListAlpha2">
    <w:name w:val="List Alpha 2"/>
    <w:basedOn w:val="List2"/>
    <w:rsid w:val="00C83A18"/>
    <w:pPr>
      <w:numPr>
        <w:numId w:val="7"/>
      </w:numPr>
    </w:pPr>
  </w:style>
  <w:style w:type="paragraph" w:styleId="List2">
    <w:name w:val="List 2"/>
    <w:basedOn w:val="BodyText"/>
    <w:rsid w:val="00C83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A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A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A18"/>
    <w:pPr>
      <w:numPr>
        <w:numId w:val="3"/>
      </w:numPr>
    </w:pPr>
  </w:style>
  <w:style w:type="paragraph" w:styleId="ListContinue2">
    <w:name w:val="List Continue 2"/>
    <w:basedOn w:val="List2"/>
    <w:rsid w:val="00C83A18"/>
    <w:pPr>
      <w:ind w:firstLine="0"/>
    </w:pPr>
  </w:style>
  <w:style w:type="paragraph" w:styleId="ListContinue3">
    <w:name w:val="List Continue 3"/>
    <w:basedOn w:val="List3"/>
    <w:rsid w:val="00C83A18"/>
    <w:pPr>
      <w:ind w:left="1021" w:firstLine="0"/>
    </w:pPr>
  </w:style>
  <w:style w:type="paragraph" w:styleId="ListContinue4">
    <w:name w:val="List Continue 4"/>
    <w:basedOn w:val="List4"/>
    <w:rsid w:val="00C83A18"/>
    <w:pPr>
      <w:ind w:firstLine="0"/>
    </w:pPr>
  </w:style>
  <w:style w:type="paragraph" w:styleId="ListContinue5">
    <w:name w:val="List Continue 5"/>
    <w:basedOn w:val="List5"/>
    <w:rsid w:val="00C83A18"/>
    <w:pPr>
      <w:ind w:firstLine="0"/>
    </w:pPr>
  </w:style>
  <w:style w:type="paragraph" w:styleId="ListNumber3">
    <w:name w:val="List Number 3"/>
    <w:basedOn w:val="List3"/>
    <w:rsid w:val="00C83A18"/>
    <w:pPr>
      <w:numPr>
        <w:numId w:val="4"/>
      </w:numPr>
    </w:pPr>
  </w:style>
  <w:style w:type="paragraph" w:styleId="ListNumber4">
    <w:name w:val="List Number 4"/>
    <w:basedOn w:val="List4"/>
    <w:rsid w:val="00C83A18"/>
    <w:pPr>
      <w:numPr>
        <w:numId w:val="5"/>
      </w:numPr>
    </w:pPr>
  </w:style>
  <w:style w:type="paragraph" w:styleId="ListNumber5">
    <w:name w:val="List Number 5"/>
    <w:basedOn w:val="List5"/>
    <w:rsid w:val="00C83A18"/>
    <w:pPr>
      <w:numPr>
        <w:numId w:val="6"/>
      </w:numPr>
    </w:pPr>
  </w:style>
  <w:style w:type="paragraph" w:styleId="BlockText">
    <w:name w:val="Block Text"/>
    <w:basedOn w:val="Normal"/>
    <w:rsid w:val="00C83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A18"/>
    <w:rPr>
      <w:sz w:val="16"/>
      <w:vertAlign w:val="superscript"/>
    </w:rPr>
  </w:style>
  <w:style w:type="character" w:customStyle="1" w:styleId="Symbols">
    <w:name w:val="Symbols"/>
    <w:basedOn w:val="DefaultParagraphFont"/>
    <w:rsid w:val="00C83A18"/>
    <w:rPr>
      <w:rFonts w:ascii="Symbol" w:hAnsi="Symbol"/>
    </w:rPr>
  </w:style>
  <w:style w:type="character" w:customStyle="1" w:styleId="MenuOptions">
    <w:name w:val="Menu Options"/>
    <w:basedOn w:val="DefaultParagraphFont"/>
    <w:rsid w:val="00C83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A18"/>
    <w:rPr>
      <w:b/>
    </w:rPr>
  </w:style>
  <w:style w:type="character" w:customStyle="1" w:styleId="Underlined">
    <w:name w:val="Underlined"/>
    <w:basedOn w:val="DefaultParagraphFont"/>
    <w:rsid w:val="00C83A18"/>
    <w:rPr>
      <w:u w:val="single"/>
    </w:rPr>
  </w:style>
  <w:style w:type="paragraph" w:customStyle="1" w:styleId="TableBodyTextRight">
    <w:name w:val="Table Body Text Right"/>
    <w:basedOn w:val="TableBodyText"/>
    <w:rsid w:val="00C83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A18"/>
    <w:rPr>
      <w:sz w:val="18"/>
    </w:rPr>
  </w:style>
  <w:style w:type="paragraph" w:customStyle="1" w:styleId="BodySmallRight">
    <w:name w:val="Body Small Right"/>
    <w:basedOn w:val="BodyTextRight"/>
    <w:rsid w:val="00C83A18"/>
    <w:rPr>
      <w:sz w:val="18"/>
      <w:szCs w:val="18"/>
    </w:rPr>
  </w:style>
  <w:style w:type="paragraph" w:customStyle="1" w:styleId="MarginEdition">
    <w:name w:val="Margin Edition"/>
    <w:basedOn w:val="MarginNote"/>
    <w:rsid w:val="00C83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A18"/>
    <w:rPr>
      <w:sz w:val="2"/>
      <w:szCs w:val="2"/>
    </w:rPr>
  </w:style>
  <w:style w:type="character" w:customStyle="1" w:styleId="Small">
    <w:name w:val="Small"/>
    <w:basedOn w:val="DefaultParagraphFont"/>
    <w:rsid w:val="00C83A18"/>
    <w:rPr>
      <w:sz w:val="16"/>
    </w:rPr>
  </w:style>
  <w:style w:type="paragraph" w:customStyle="1" w:styleId="WideTable">
    <w:name w:val="Wide Table"/>
    <w:basedOn w:val="Normal"/>
    <w:rsid w:val="00C83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A18"/>
  </w:style>
  <w:style w:type="paragraph" w:styleId="Quote">
    <w:name w:val="Quote"/>
    <w:basedOn w:val="Heading1"/>
    <w:link w:val="QuoteChar"/>
    <w:qFormat/>
    <w:rsid w:val="00C83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A18"/>
    <w:pPr>
      <w:pageBreakBefore/>
    </w:pPr>
  </w:style>
  <w:style w:type="paragraph" w:customStyle="1" w:styleId="Border">
    <w:name w:val="Border"/>
    <w:basedOn w:val="Normal"/>
    <w:qFormat/>
    <w:rsid w:val="00C83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A18"/>
    <w:rPr>
      <w:u w:val="single"/>
    </w:rPr>
  </w:style>
  <w:style w:type="character" w:customStyle="1" w:styleId="BoldandItalics">
    <w:name w:val="Bold and Italics"/>
    <w:qFormat/>
    <w:rsid w:val="00C83A18"/>
    <w:rPr>
      <w:b/>
      <w:i/>
      <w:u w:val="none"/>
    </w:rPr>
  </w:style>
  <w:style w:type="paragraph" w:styleId="BalloonText">
    <w:name w:val="Balloon Text"/>
    <w:basedOn w:val="Normal"/>
    <w:link w:val="BalloonTextChar"/>
    <w:rsid w:val="00C83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A18"/>
    <w:pPr>
      <w:spacing w:before="0" w:after="0"/>
    </w:pPr>
  </w:style>
  <w:style w:type="paragraph" w:customStyle="1" w:styleId="BodyTextBold">
    <w:name w:val="Body Text Bold"/>
    <w:basedOn w:val="BodyText"/>
    <w:qFormat/>
    <w:rsid w:val="00C83A18"/>
    <w:rPr>
      <w:b/>
    </w:rPr>
  </w:style>
  <w:style w:type="character" w:styleId="Hyperlink">
    <w:name w:val="Hyperlink"/>
    <w:basedOn w:val="DefaultParagraphFont"/>
    <w:uiPriority w:val="99"/>
    <w:unhideWhenUsed/>
    <w:rsid w:val="005E7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3587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AMPA2115 Separate offal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