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11B" w:rsidP="00165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AMPA2082 Wash head</w:t>
      </w:r>
      <w:r>
        <w:fldChar w:fldCharType="end"/>
      </w:r>
    </w:p>
    <w:p w:rsidR="0016511B" w:rsidP="0016511B">
      <w:pPr>
        <w:pStyle w:val="Version"/>
        <w:sectPr w:rsidSect="00AB5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91D" w:rsidP="00AB591D">
      <w:pPr>
        <w:pStyle w:val="SuperHeading"/>
      </w:pPr>
      <w:r w:rsidRPr="00AB591D">
        <w:t>AMPA2082 Wash head</w:t>
      </w:r>
    </w:p>
    <w:p w:rsidR="00000000" w:rsidRPr="00AB591D" w:rsidP="00AB591D">
      <w:pPr>
        <w:pStyle w:val="Heading1"/>
      </w:pPr>
      <w:bookmarkStart w:id="1" w:name="O_901475"/>
      <w:bookmarkEnd w:id="1"/>
      <w:r w:rsidRPr="00AB5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Comment</w:t>
            </w:r>
          </w:p>
        </w:tc>
      </w:tr>
      <w:tr w:rsidTr="00AB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91D" w:rsidP="00AB591D">
            <w:pPr>
              <w:pStyle w:val="BodyText"/>
            </w:pPr>
            <w:r w:rsidRPr="00AB591D">
              <w:t>Initial release</w:t>
            </w:r>
          </w:p>
        </w:tc>
      </w:tr>
    </w:tbl>
    <w:p w:rsidR="00000000" w:rsidRPr="00AB591D" w:rsidP="00AB591D">
      <w:pPr>
        <w:pStyle w:val="BodyText"/>
      </w:pPr>
    </w:p>
    <w:p w:rsidR="00000000" w:rsidRPr="00AB591D" w:rsidP="00AB591D">
      <w:pPr>
        <w:pStyle w:val="AllowPageBreak"/>
      </w:pPr>
    </w:p>
    <w:p w:rsidR="00000000" w:rsidRPr="00AB591D" w:rsidP="00AB591D">
      <w:pPr>
        <w:pStyle w:val="Heading1"/>
      </w:pPr>
      <w:bookmarkStart w:id="2" w:name="O_901476"/>
      <w:bookmarkEnd w:id="2"/>
      <w:r w:rsidRPr="00AB591D">
        <w:t>Application</w:t>
      </w:r>
    </w:p>
    <w:p w:rsidR="00000000" w:rsidRPr="00AB591D" w:rsidP="0016511B">
      <w:pPr>
        <w:pStyle w:val="BodyText"/>
      </w:pPr>
      <w:r w:rsidRPr="00AB591D">
        <w:t>This unit describes the skills and knowledge required to wash a head by flushing and hosing after removal from the carcase.</w:t>
      </w:r>
    </w:p>
    <w:p w:rsidR="00000000" w:rsidRPr="00AB591D" w:rsidP="0016511B">
      <w:pPr>
        <w:pStyle w:val="BodyText"/>
      </w:pPr>
      <w:r w:rsidRPr="00AB591D">
        <w:t>This unit is applicable to workers on slaughter floors and in wild game processing establishments.</w:t>
      </w:r>
    </w:p>
    <w:p w:rsidR="00000000" w:rsidRPr="00AB591D" w:rsidP="0016511B">
      <w:pPr>
        <w:pStyle w:val="BodyText"/>
      </w:pPr>
      <w:r w:rsidRPr="00AB591D">
        <w:t xml:space="preserve">All work should be carried out to comply with workplace and hygiene requirements. </w:t>
      </w:r>
    </w:p>
    <w:p w:rsidR="00000000" w:rsidRPr="00AB591D" w:rsidP="0016511B">
      <w:pPr>
        <w:pStyle w:val="BodyText"/>
      </w:pPr>
      <w:r w:rsidRPr="00AB591D">
        <w:t>This unit applies to individuals who work under general supervision, exe</w:t>
      </w:r>
      <w:r w:rsidRPr="00AB591D">
        <w:t>rcise limited autonomy and have some accountability for their own work.</w:t>
      </w:r>
    </w:p>
    <w:p w:rsidR="00000000" w:rsidRPr="00AB591D" w:rsidP="0016511B">
      <w:pPr>
        <w:pStyle w:val="BodyText"/>
      </w:pPr>
      <w:r w:rsidRPr="00AB591D">
        <w:t>No occupational licensing, legislative or certification requirements are known to apply to this unit at the time of publication.</w:t>
      </w:r>
    </w:p>
    <w:p w:rsidR="00000000" w:rsidRPr="00AB591D" w:rsidP="0016511B">
      <w:pPr>
        <w:pStyle w:val="BodyText"/>
      </w:pPr>
      <w:r w:rsidRPr="00AB591D">
        <w:t>This unit must be delivered and assessed in the conte</w:t>
      </w:r>
      <w:r w:rsidRPr="00AB591D">
        <w:t>xt of Australian meat processing standards and regulations.</w:t>
      </w:r>
    </w:p>
    <w:p w:rsidR="00000000" w:rsidRPr="00AB591D" w:rsidP="00AB591D">
      <w:pPr>
        <w:pStyle w:val="Heading1"/>
      </w:pPr>
      <w:bookmarkStart w:id="3" w:name="O_901477"/>
      <w:bookmarkEnd w:id="3"/>
      <w:r w:rsidRPr="00AB591D">
        <w:t>Pre-requisite Unit</w:t>
      </w:r>
    </w:p>
    <w:p w:rsidR="00000000" w:rsidRPr="00AB591D" w:rsidP="0016511B">
      <w:pPr>
        <w:pStyle w:val="BodyText"/>
      </w:pPr>
      <w:r w:rsidRPr="00AB591D">
        <w:t>Nil.</w:t>
      </w:r>
    </w:p>
    <w:p w:rsidR="00000000" w:rsidRPr="00AB591D" w:rsidP="00AB591D">
      <w:pPr>
        <w:pStyle w:val="Heading1"/>
      </w:pPr>
      <w:bookmarkStart w:id="4" w:name="O_901479"/>
      <w:bookmarkEnd w:id="4"/>
      <w:r w:rsidRPr="00AB591D">
        <w:t>Unit Sector</w:t>
      </w:r>
    </w:p>
    <w:p w:rsidR="00000000" w:rsidRPr="00AB591D" w:rsidP="00AB591D">
      <w:pPr>
        <w:pStyle w:val="Heading1"/>
      </w:pPr>
      <w:bookmarkStart w:id="5" w:name="O_901480"/>
      <w:bookmarkEnd w:id="5"/>
      <w:r w:rsidRPr="00AB591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651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Heading4"/>
              <w:rPr>
                <w:lang w:val="en-NZ"/>
              </w:rPr>
            </w:pPr>
            <w:r w:rsidRPr="00AB591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Heading4"/>
              <w:rPr>
                <w:lang w:val="en-NZ"/>
              </w:rPr>
            </w:pPr>
            <w:r w:rsidRPr="00AB591D">
              <w:t>Performance criteria</w:t>
            </w:r>
          </w:p>
        </w:tc>
      </w:tr>
      <w:tr w:rsidTr="001651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 xml:space="preserve">Elements describe the </w:t>
            </w:r>
            <w:r w:rsidRPr="00AB591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 xml:space="preserve">Performance criteria describe the performance needed to </w:t>
            </w:r>
            <w:r w:rsidRPr="00AB591D">
              <w:t>demonstrate achievement of the element.</w:t>
            </w:r>
          </w:p>
        </w:tc>
      </w:tr>
      <w:tr w:rsidTr="001651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List"/>
              <w:rPr>
                <w:lang w:val="en-NZ"/>
              </w:rPr>
            </w:pPr>
            <w:r w:rsidRPr="00AB591D">
              <w:t>1.</w:t>
            </w:r>
            <w:r w:rsidRPr="00AB591D">
              <w:tab/>
              <w:t>Identify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91D" w:rsidP="00AB591D">
            <w:pPr>
              <w:pStyle w:val="List"/>
            </w:pPr>
            <w:r w:rsidRPr="00AB591D">
              <w:t>1.1</w:t>
            </w:r>
            <w:r w:rsidRPr="00AB591D">
              <w:tab/>
              <w:t>Identify sources and causes of head meat contamination</w:t>
            </w:r>
          </w:p>
          <w:p w:rsidR="00000000" w:rsidP="00AB591D">
            <w:pPr>
              <w:pStyle w:val="List"/>
              <w:rPr>
                <w:lang w:val="en-NZ"/>
              </w:rPr>
            </w:pPr>
            <w:r w:rsidRPr="00AB591D">
              <w:t>1.2</w:t>
            </w:r>
            <w:r w:rsidRPr="00AB591D">
              <w:tab/>
              <w:t>Remove contamination and/or report to workplace requirements</w:t>
            </w:r>
          </w:p>
        </w:tc>
      </w:tr>
      <w:tr w:rsidTr="001651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List"/>
              <w:rPr>
                <w:lang w:val="en-NZ"/>
              </w:rPr>
            </w:pPr>
            <w:r w:rsidRPr="00AB591D">
              <w:t>2.</w:t>
            </w:r>
            <w:r w:rsidRPr="00AB591D">
              <w:tab/>
              <w:t xml:space="preserve">Wash </w:t>
            </w:r>
            <w:r w:rsidRPr="00AB591D">
              <w:t>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91D" w:rsidP="00AB591D">
            <w:pPr>
              <w:pStyle w:val="List"/>
            </w:pPr>
            <w:r w:rsidRPr="00AB591D">
              <w:t>2.1</w:t>
            </w:r>
            <w:r w:rsidRPr="00AB591D">
              <w:tab/>
              <w:t>Flush head and all head cavities to workplace health and safety requirements</w:t>
            </w:r>
          </w:p>
          <w:p w:rsidR="00000000" w:rsidRPr="00AB591D" w:rsidP="00AB591D">
            <w:pPr>
              <w:pStyle w:val="List"/>
            </w:pPr>
            <w:r w:rsidRPr="00AB591D">
              <w:t>2.2</w:t>
            </w:r>
            <w:r w:rsidRPr="00AB591D">
              <w:tab/>
              <w:t>Sterilise equipment to workplace requirements</w:t>
            </w:r>
          </w:p>
          <w:p w:rsidR="00000000" w:rsidRPr="00AB591D" w:rsidP="00AB591D">
            <w:pPr>
              <w:pStyle w:val="List"/>
            </w:pPr>
            <w:r w:rsidRPr="00AB591D">
              <w:t>2.3</w:t>
            </w:r>
            <w:r w:rsidRPr="00AB591D">
              <w:tab/>
              <w:t>Place head on the rail or hook in the same sequence as the carcase on the chain, ensuring that heads do not touch</w:t>
            </w:r>
          </w:p>
        </w:tc>
      </w:tr>
    </w:tbl>
    <w:p w:rsidR="00000000" w:rsidRPr="00AB591D" w:rsidP="00AB591D">
      <w:pPr>
        <w:pStyle w:val="BodyText"/>
      </w:pPr>
    </w:p>
    <w:p w:rsidR="00000000" w:rsidRPr="00AB591D" w:rsidP="00AB591D">
      <w:pPr>
        <w:pStyle w:val="AllowPageBreak"/>
      </w:pPr>
    </w:p>
    <w:p w:rsidR="00000000" w:rsidRPr="00AB591D" w:rsidP="00AB591D">
      <w:pPr>
        <w:pStyle w:val="Heading1"/>
      </w:pPr>
      <w:bookmarkStart w:id="6" w:name="O_901481"/>
      <w:bookmarkEnd w:id="6"/>
      <w:r w:rsidRPr="00AB591D">
        <w:t>Foundation Skills</w:t>
      </w:r>
    </w:p>
    <w:p w:rsidR="00000000" w:rsidRPr="00AB591D" w:rsidP="0016511B">
      <w:pPr>
        <w:pStyle w:val="BodyText"/>
      </w:pPr>
      <w:r w:rsidRPr="00AB591D">
        <w:t>Foundation Skills essential to performance are explicit in the performance criteria of this unit of competency.</w:t>
      </w:r>
    </w:p>
    <w:p w:rsidR="00000000" w:rsidRPr="00AB591D" w:rsidP="00AB591D">
      <w:pPr>
        <w:pStyle w:val="Heading1"/>
      </w:pPr>
      <w:bookmarkStart w:id="7" w:name="O_901482"/>
      <w:bookmarkEnd w:id="7"/>
      <w:r w:rsidRPr="00AB591D">
        <w:t>Range of Conditions</w:t>
      </w:r>
    </w:p>
    <w:p w:rsidR="00000000" w:rsidRPr="00AB591D" w:rsidP="00AB591D">
      <w:pPr>
        <w:pStyle w:val="Heading1"/>
      </w:pPr>
      <w:bookmarkStart w:id="8" w:name="O_901483"/>
      <w:bookmarkEnd w:id="8"/>
      <w:r w:rsidRPr="00AB591D">
        <w:t>Unit Mapping Information</w:t>
      </w:r>
    </w:p>
    <w:p w:rsidR="00000000" w:rsidRPr="00AB591D" w:rsidP="0016511B">
      <w:pPr>
        <w:pStyle w:val="BodyText"/>
      </w:pPr>
      <w:r w:rsidRPr="00AB591D">
        <w:t>This unit is equivalent to MTMP</w:t>
      </w:r>
      <w:r w:rsidRPr="00AB591D">
        <w:t>2093C Wash head.</w:t>
      </w:r>
    </w:p>
    <w:p w:rsidR="00000000" w:rsidRPr="00AB591D" w:rsidP="00AB591D">
      <w:pPr>
        <w:pStyle w:val="Heading1"/>
      </w:pPr>
      <w:bookmarkStart w:id="9" w:name="O_901490"/>
      <w:bookmarkEnd w:id="9"/>
      <w:r w:rsidRPr="00AB591D">
        <w:t>Links</w:t>
      </w:r>
    </w:p>
    <w:p w:rsidR="00000000" w:rsidRPr="00AB591D" w:rsidP="0016511B">
      <w:pPr>
        <w:pStyle w:val="BodyText"/>
      </w:pPr>
      <w:r w:rsidRPr="00AB5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26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591D" w:rsidP="0016511B">
      <w:pPr>
        <w:pStyle w:val="BodyText"/>
        <w:sectPr w:rsidSect="00AB59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591D" w:rsidP="00AB591D">
      <w:pPr>
        <w:pStyle w:val="SuperHeading"/>
      </w:pPr>
      <w:r w:rsidRPr="00AB591D">
        <w:t>Assessment Requirements</w:t>
      </w:r>
      <w:r w:rsidRPr="00AB591D">
        <w:t xml:space="preserve"> for AMPA2082 Wash head</w:t>
      </w:r>
    </w:p>
    <w:p w:rsidR="00000000" w:rsidRPr="00AB591D" w:rsidP="00AB591D">
      <w:pPr>
        <w:pStyle w:val="Heading1"/>
      </w:pPr>
      <w:bookmarkStart w:id="10" w:name="O_901485"/>
      <w:bookmarkEnd w:id="10"/>
      <w:r w:rsidRPr="00AB5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TableHeading"/>
              <w:rPr>
                <w:lang w:val="en-NZ"/>
              </w:rPr>
            </w:pPr>
            <w:r w:rsidRPr="00AB591D">
              <w:t>Comment</w:t>
            </w:r>
          </w:p>
        </w:tc>
      </w:tr>
      <w:tr w:rsidTr="00AB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1D">
            <w:pPr>
              <w:pStyle w:val="BodyText"/>
              <w:rPr>
                <w:lang w:val="en-NZ"/>
              </w:rPr>
            </w:pPr>
            <w:r w:rsidRPr="00AB59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91D" w:rsidP="00AB591D">
            <w:pPr>
              <w:pStyle w:val="BodyText"/>
            </w:pPr>
            <w:r w:rsidRPr="00AB591D">
              <w:t>Initial release</w:t>
            </w:r>
          </w:p>
        </w:tc>
      </w:tr>
    </w:tbl>
    <w:p w:rsidR="00000000" w:rsidRPr="00AB591D" w:rsidP="00AB591D">
      <w:pPr>
        <w:pStyle w:val="BodyText"/>
      </w:pPr>
    </w:p>
    <w:p w:rsidR="00000000" w:rsidRPr="00AB591D" w:rsidP="00AB591D">
      <w:pPr>
        <w:pStyle w:val="AllowPageBreak"/>
      </w:pPr>
    </w:p>
    <w:p w:rsidR="00000000" w:rsidRPr="00AB591D" w:rsidP="00AB591D">
      <w:pPr>
        <w:pStyle w:val="Heading1"/>
      </w:pPr>
      <w:bookmarkStart w:id="11" w:name="O_901486"/>
      <w:bookmarkEnd w:id="11"/>
      <w:r w:rsidRPr="00AB591D">
        <w:t>Performance Evidence</w:t>
      </w:r>
    </w:p>
    <w:p w:rsidR="00000000" w:rsidRPr="00AB591D" w:rsidP="0016511B">
      <w:pPr>
        <w:pStyle w:val="BodyText"/>
      </w:pPr>
      <w:r w:rsidRPr="00AB591D">
        <w:t>The candidate must wash a head by flushing and hosing after removal from the carcase.</w:t>
      </w:r>
    </w:p>
    <w:p w:rsidR="00000000" w:rsidRPr="00AB591D" w:rsidP="0016511B">
      <w:pPr>
        <w:pStyle w:val="BodyText"/>
      </w:pPr>
      <w:r w:rsidRPr="00AB591D">
        <w:t xml:space="preserve">The candidate must: </w:t>
      </w:r>
    </w:p>
    <w:p w:rsidR="00000000" w:rsidRPr="00AB591D" w:rsidP="00AB591D">
      <w:pPr>
        <w:pStyle w:val="ListBullet"/>
      </w:pPr>
      <w:r w:rsidRPr="00AB591D">
        <w:t>work cleanly to avoid the risks of contamination of head meat</w:t>
      </w:r>
    </w:p>
    <w:p w:rsidR="00000000" w:rsidRPr="00AB591D" w:rsidP="00AB591D">
      <w:pPr>
        <w:pStyle w:val="ListBullet"/>
      </w:pPr>
      <w:r w:rsidRPr="00AB591D">
        <w:t>identify types of visible contamination on heads</w:t>
      </w:r>
    </w:p>
    <w:p w:rsidR="00000000" w:rsidRPr="00AB591D" w:rsidP="00AB591D">
      <w:pPr>
        <w:pStyle w:val="ListBullet"/>
      </w:pPr>
      <w:r w:rsidRPr="00AB591D">
        <w:t>flush head and all head cavities to workplace health and safety requirements</w:t>
      </w:r>
    </w:p>
    <w:p w:rsidR="00000000" w:rsidRPr="00AB591D" w:rsidP="00AB591D">
      <w:pPr>
        <w:pStyle w:val="ListBullet"/>
      </w:pPr>
      <w:r w:rsidRPr="00AB591D">
        <w:t>sterilise equipment to workplace requirements</w:t>
      </w:r>
    </w:p>
    <w:p w:rsidR="00000000" w:rsidRPr="00AB591D" w:rsidP="00AB591D">
      <w:pPr>
        <w:pStyle w:val="ListBullet"/>
      </w:pPr>
      <w:r w:rsidRPr="00AB591D">
        <w:t>place head on the rail or hook in the same sequence as the carcase on the chain, ensuring that heads do not touch</w:t>
      </w:r>
    </w:p>
    <w:p w:rsidR="00000000" w:rsidRPr="00AB591D" w:rsidP="00AB591D">
      <w:pPr>
        <w:pStyle w:val="ListBullet"/>
      </w:pPr>
      <w:r w:rsidRPr="00AB591D">
        <w:t>apply relevant regulatory requirements</w:t>
      </w:r>
    </w:p>
    <w:p w:rsidR="00000000" w:rsidRPr="00AB591D" w:rsidP="00AB591D">
      <w:pPr>
        <w:pStyle w:val="AllowPageBreak"/>
      </w:pPr>
    </w:p>
    <w:p w:rsidR="00000000" w:rsidRPr="00AB591D" w:rsidP="00AB591D">
      <w:pPr>
        <w:pStyle w:val="Heading1"/>
      </w:pPr>
      <w:bookmarkStart w:id="12" w:name="O_901487"/>
      <w:bookmarkEnd w:id="12"/>
      <w:r w:rsidRPr="00AB591D">
        <w:t>Knowledge Evidence</w:t>
      </w:r>
    </w:p>
    <w:p w:rsidR="00000000" w:rsidRPr="00AB591D" w:rsidP="0016511B">
      <w:pPr>
        <w:pStyle w:val="BodyText"/>
      </w:pPr>
      <w:r w:rsidRPr="00AB591D">
        <w:t>The candidate must demonstrate a basic factual, technical and proce</w:t>
      </w:r>
      <w:r w:rsidRPr="00AB591D">
        <w:t xml:space="preserve">dural knowledge of: </w:t>
      </w:r>
    </w:p>
    <w:p w:rsidR="00000000" w:rsidRPr="00AB591D" w:rsidP="00AB591D">
      <w:pPr>
        <w:pStyle w:val="ListBullet"/>
      </w:pPr>
      <w:r w:rsidRPr="00AB591D">
        <w:t>hygiene and sanitation requirements related to washing head</w:t>
      </w:r>
    </w:p>
    <w:p w:rsidR="00000000" w:rsidRPr="00AB591D" w:rsidP="00AB591D">
      <w:pPr>
        <w:pStyle w:val="ListBullet"/>
      </w:pPr>
      <w:r w:rsidRPr="00AB591D">
        <w:t>workplace health and safety requirements related to washing head</w:t>
      </w:r>
    </w:p>
    <w:p w:rsidR="00000000" w:rsidRPr="00AB591D" w:rsidP="00AB591D">
      <w:pPr>
        <w:pStyle w:val="ListBullet"/>
      </w:pPr>
      <w:r w:rsidRPr="00AB591D">
        <w:t>purpose of washing head</w:t>
      </w:r>
    </w:p>
    <w:p w:rsidR="00000000" w:rsidRPr="00AB591D" w:rsidP="00AB591D">
      <w:pPr>
        <w:pStyle w:val="ListBullet"/>
      </w:pPr>
      <w:r w:rsidRPr="00AB591D">
        <w:t>workplace requirements related to head washing</w:t>
      </w:r>
    </w:p>
    <w:p w:rsidR="00000000" w:rsidRPr="00AB591D" w:rsidP="00AB591D">
      <w:pPr>
        <w:pStyle w:val="ListBullet"/>
      </w:pPr>
      <w:r w:rsidRPr="00AB591D">
        <w:t>relevant regulatory requirements</w:t>
      </w:r>
    </w:p>
    <w:p w:rsidR="00000000" w:rsidRPr="00AB591D" w:rsidP="00AB591D">
      <w:pPr>
        <w:pStyle w:val="AllowPageBreak"/>
      </w:pPr>
    </w:p>
    <w:p w:rsidR="00000000" w:rsidRPr="00AB591D" w:rsidP="00AB591D">
      <w:pPr>
        <w:pStyle w:val="Heading1"/>
      </w:pPr>
      <w:bookmarkStart w:id="13" w:name="O_901488"/>
      <w:bookmarkEnd w:id="13"/>
      <w:r w:rsidRPr="00AB591D">
        <w:t>Assessment Conditions</w:t>
      </w:r>
    </w:p>
    <w:p w:rsidR="00000000" w:rsidRPr="00AB591D" w:rsidP="0016511B">
      <w:pPr>
        <w:pStyle w:val="BodyText"/>
      </w:pPr>
      <w:r w:rsidRPr="00AB591D">
        <w:t>Assessment must be conducted in an operating meat processing plant.</w:t>
      </w:r>
    </w:p>
    <w:p w:rsidR="00000000" w:rsidRPr="00AB591D" w:rsidP="0016511B">
      <w:pPr>
        <w:pStyle w:val="BodyText"/>
      </w:pPr>
      <w:r w:rsidRPr="00AB591D">
        <w:t>Competency must be demonstrated under normal production conditions.</w:t>
      </w:r>
    </w:p>
    <w:p w:rsidR="00000000" w:rsidRPr="00AB591D" w:rsidP="0016511B">
      <w:pPr>
        <w:pStyle w:val="BodyText"/>
      </w:pPr>
      <w:r w:rsidRPr="00AB591D">
        <w:t xml:space="preserve">As a minimum, the following three forms of assessment must be used: </w:t>
      </w:r>
    </w:p>
    <w:p w:rsidR="00000000" w:rsidRPr="00AB591D" w:rsidP="00AB591D">
      <w:pPr>
        <w:pStyle w:val="ListBullet"/>
      </w:pPr>
      <w:r w:rsidRPr="00AB591D">
        <w:t>quiz of un</w:t>
      </w:r>
      <w:r w:rsidRPr="00AB591D">
        <w:t>derpinning knowledge</w:t>
      </w:r>
    </w:p>
    <w:p w:rsidR="00000000" w:rsidRPr="00AB591D" w:rsidP="00AB591D">
      <w:pPr>
        <w:pStyle w:val="ListBullet"/>
      </w:pPr>
      <w:r w:rsidRPr="00AB591D">
        <w:t xml:space="preserve">workplace demonstration </w:t>
      </w:r>
    </w:p>
    <w:p w:rsidR="00000000" w:rsidRPr="00AB591D" w:rsidP="00AB591D">
      <w:pPr>
        <w:pStyle w:val="ListBullet"/>
      </w:pPr>
      <w:r w:rsidRPr="00AB591D">
        <w:t>workplace referee or third-party report of performance over time</w:t>
      </w:r>
    </w:p>
    <w:p w:rsidR="00000000" w:rsidRPr="00AB591D" w:rsidP="00AB591D">
      <w:pPr>
        <w:pStyle w:val="BodyText"/>
      </w:pPr>
    </w:p>
    <w:p w:rsidR="00000000" w:rsidRPr="00AB591D" w:rsidP="0016511B">
      <w:pPr>
        <w:pStyle w:val="BodyText"/>
      </w:pPr>
      <w:r w:rsidRPr="00AB591D">
        <w:t>Assessors must satisfy the current standards for RTOs.</w:t>
      </w:r>
    </w:p>
    <w:p w:rsidR="00000000" w:rsidRPr="00AB591D" w:rsidP="00AB591D">
      <w:pPr>
        <w:pStyle w:val="Heading1"/>
      </w:pPr>
      <w:bookmarkStart w:id="14" w:name="O_901491"/>
      <w:bookmarkEnd w:id="14"/>
      <w:r w:rsidRPr="00AB591D">
        <w:t>Links</w:t>
      </w:r>
    </w:p>
    <w:p w:rsidR="00000000" w:rsidRPr="00AB591D" w:rsidP="0016511B">
      <w:pPr>
        <w:pStyle w:val="BodyText"/>
      </w:pPr>
      <w:r w:rsidRPr="00AB5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26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591D" w:rsidP="00AB591D"/>
    <w:sectPr w:rsidSect="00AB59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 w:rsidRPr="0016511B" w:rsidP="00165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1B" w:rsidP="00AB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11B" w:rsidP="00AB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11B" w:rsidP="00AB59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 w:rsidP="00AB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11B">
      <w:t>Approved</w:t>
    </w:r>
    <w:r w:rsidR="001651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1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11B">
      <w:rPr>
        <w:noProof/>
      </w:rPr>
      <w:t>4</w:t>
    </w:r>
    <w:r>
      <w:rPr>
        <w:noProof/>
      </w:rPr>
      <w:fldChar w:fldCharType="end"/>
    </w:r>
  </w:p>
  <w:p w:rsidR="00AB591D" w:rsidP="00AB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1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11B">
      <w:t>Skills Insight</w:t>
    </w:r>
    <w:r w:rsidR="0016511B">
      <w:fldChar w:fldCharType="end"/>
    </w:r>
  </w:p>
  <w:p w:rsidR="00AB591D" w:rsidP="00AB5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91D" w:rsidRPr="0016511B" w:rsidP="00165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1B" w:rsidRPr="002D2AF8" w:rsidP="00AB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AMPA2082 Wash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11B" w:rsidP="00AB59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1D" w:rsidRPr="002D2AF8" w:rsidP="00AB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11B">
      <w:t>AMPA2082 Wash head</w:t>
    </w:r>
    <w:r w:rsidR="001651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11B">
      <w:rPr>
        <w:noProof/>
      </w:rPr>
      <w:t>2 March 2025</w:t>
    </w:r>
    <w:r>
      <w:fldChar w:fldCharType="end"/>
    </w:r>
  </w:p>
  <w:p w:rsidR="00AB591D" w:rsidP="00AB5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52C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01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91D"/>
  </w:style>
  <w:style w:type="character" w:customStyle="1" w:styleId="Heading1Char">
    <w:name w:val="Heading 1 Char"/>
    <w:basedOn w:val="DefaultParagraphFont"/>
    <w:link w:val="Heading1"/>
    <w:rsid w:val="00AB5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91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5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9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59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9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5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59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5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9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5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91D"/>
    <w:rPr>
      <w:b/>
      <w:spacing w:val="0"/>
    </w:rPr>
  </w:style>
  <w:style w:type="paragraph" w:customStyle="1" w:styleId="SuperTitle">
    <w:name w:val="SuperTitle"/>
    <w:basedOn w:val="Title"/>
    <w:rsid w:val="00AB5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9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91D"/>
    <w:rPr>
      <w:i/>
    </w:rPr>
  </w:style>
  <w:style w:type="paragraph" w:styleId="Caption">
    <w:name w:val="caption"/>
    <w:basedOn w:val="BodyText"/>
    <w:next w:val="Normal"/>
    <w:qFormat/>
    <w:rsid w:val="00AB5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91D"/>
  </w:style>
  <w:style w:type="paragraph" w:styleId="TableofFigures">
    <w:name w:val="table of figures"/>
    <w:basedOn w:val="Normal"/>
    <w:next w:val="Normal"/>
    <w:semiHidden/>
    <w:rsid w:val="00AB5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9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91D"/>
    <w:rPr>
      <w:rFonts w:ascii="Wingdings" w:hAnsi="Wingdings"/>
    </w:rPr>
  </w:style>
  <w:style w:type="character" w:customStyle="1" w:styleId="HotSpot">
    <w:name w:val="HotSpot"/>
    <w:rsid w:val="00AB591D"/>
    <w:rPr>
      <w:color w:val="0033CC"/>
      <w:u w:val="none"/>
    </w:rPr>
  </w:style>
  <w:style w:type="paragraph" w:customStyle="1" w:styleId="BodyTextRight">
    <w:name w:val="Body Text Right"/>
    <w:basedOn w:val="BodyText"/>
    <w:rsid w:val="00AB5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9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91D"/>
    <w:rPr>
      <w:sz w:val="32"/>
    </w:rPr>
  </w:style>
  <w:style w:type="paragraph" w:customStyle="1" w:styleId="HeadingProcedure">
    <w:name w:val="Heading Procedure"/>
    <w:basedOn w:val="HeadingBase"/>
    <w:next w:val="Normal"/>
    <w:rsid w:val="00AB5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91D"/>
    <w:pPr>
      <w:spacing w:before="60" w:after="60"/>
    </w:pPr>
  </w:style>
  <w:style w:type="paragraph" w:styleId="ListContinue">
    <w:name w:val="List Continue"/>
    <w:basedOn w:val="List"/>
    <w:rsid w:val="00AB591D"/>
    <w:pPr>
      <w:ind w:firstLine="0"/>
    </w:pPr>
  </w:style>
  <w:style w:type="paragraph" w:customStyle="1" w:styleId="ListNote">
    <w:name w:val="List Note"/>
    <w:basedOn w:val="List"/>
    <w:rsid w:val="00AB5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91D"/>
    <w:rPr>
      <w:rFonts w:ascii="Courier New" w:hAnsi="Courier New"/>
    </w:rPr>
  </w:style>
  <w:style w:type="paragraph" w:customStyle="1" w:styleId="NoteBullet">
    <w:name w:val="Note Bullet"/>
    <w:basedOn w:val="Note"/>
    <w:rsid w:val="00AB5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9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91D"/>
    <w:rPr>
      <w:b/>
      <w:smallCaps/>
    </w:rPr>
  </w:style>
  <w:style w:type="paragraph" w:customStyle="1" w:styleId="TableListNumber">
    <w:name w:val="Table List Number"/>
    <w:basedOn w:val="ListNumber"/>
    <w:rsid w:val="00AB5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91D"/>
    <w:pPr>
      <w:numPr>
        <w:numId w:val="8"/>
      </w:numPr>
    </w:pPr>
  </w:style>
  <w:style w:type="paragraph" w:customStyle="1" w:styleId="ListAlpha2">
    <w:name w:val="List Alpha 2"/>
    <w:basedOn w:val="List2"/>
    <w:rsid w:val="00AB591D"/>
    <w:pPr>
      <w:numPr>
        <w:numId w:val="7"/>
      </w:numPr>
    </w:pPr>
  </w:style>
  <w:style w:type="paragraph" w:styleId="List2">
    <w:name w:val="List 2"/>
    <w:basedOn w:val="BodyText"/>
    <w:rsid w:val="00AB5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9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9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91D"/>
    <w:pPr>
      <w:numPr>
        <w:numId w:val="3"/>
      </w:numPr>
    </w:pPr>
  </w:style>
  <w:style w:type="paragraph" w:styleId="ListContinue2">
    <w:name w:val="List Continue 2"/>
    <w:basedOn w:val="List2"/>
    <w:rsid w:val="00AB591D"/>
    <w:pPr>
      <w:ind w:firstLine="0"/>
    </w:pPr>
  </w:style>
  <w:style w:type="paragraph" w:styleId="ListContinue3">
    <w:name w:val="List Continue 3"/>
    <w:basedOn w:val="List3"/>
    <w:rsid w:val="00AB591D"/>
    <w:pPr>
      <w:ind w:left="1021" w:firstLine="0"/>
    </w:pPr>
  </w:style>
  <w:style w:type="paragraph" w:styleId="ListContinue4">
    <w:name w:val="List Continue 4"/>
    <w:basedOn w:val="List4"/>
    <w:rsid w:val="00AB591D"/>
    <w:pPr>
      <w:ind w:firstLine="0"/>
    </w:pPr>
  </w:style>
  <w:style w:type="paragraph" w:styleId="ListContinue5">
    <w:name w:val="List Continue 5"/>
    <w:basedOn w:val="List5"/>
    <w:rsid w:val="00AB591D"/>
    <w:pPr>
      <w:ind w:firstLine="0"/>
    </w:pPr>
  </w:style>
  <w:style w:type="paragraph" w:styleId="ListNumber3">
    <w:name w:val="List Number 3"/>
    <w:basedOn w:val="List3"/>
    <w:rsid w:val="00AB591D"/>
    <w:pPr>
      <w:numPr>
        <w:numId w:val="4"/>
      </w:numPr>
    </w:pPr>
  </w:style>
  <w:style w:type="paragraph" w:styleId="ListNumber4">
    <w:name w:val="List Number 4"/>
    <w:basedOn w:val="List4"/>
    <w:rsid w:val="00AB591D"/>
    <w:pPr>
      <w:numPr>
        <w:numId w:val="5"/>
      </w:numPr>
    </w:pPr>
  </w:style>
  <w:style w:type="paragraph" w:styleId="ListNumber5">
    <w:name w:val="List Number 5"/>
    <w:basedOn w:val="List5"/>
    <w:rsid w:val="00AB591D"/>
    <w:pPr>
      <w:numPr>
        <w:numId w:val="6"/>
      </w:numPr>
    </w:pPr>
  </w:style>
  <w:style w:type="paragraph" w:styleId="BlockText">
    <w:name w:val="Block Text"/>
    <w:basedOn w:val="Normal"/>
    <w:rsid w:val="00AB5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91D"/>
    <w:rPr>
      <w:sz w:val="16"/>
      <w:vertAlign w:val="superscript"/>
    </w:rPr>
  </w:style>
  <w:style w:type="character" w:customStyle="1" w:styleId="Symbols">
    <w:name w:val="Symbols"/>
    <w:basedOn w:val="DefaultParagraphFont"/>
    <w:rsid w:val="00AB591D"/>
    <w:rPr>
      <w:rFonts w:ascii="Symbol" w:hAnsi="Symbol"/>
    </w:rPr>
  </w:style>
  <w:style w:type="character" w:customStyle="1" w:styleId="MenuOptions">
    <w:name w:val="Menu Options"/>
    <w:basedOn w:val="DefaultParagraphFont"/>
    <w:rsid w:val="00AB5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91D"/>
    <w:rPr>
      <w:b/>
    </w:rPr>
  </w:style>
  <w:style w:type="character" w:customStyle="1" w:styleId="Underlined">
    <w:name w:val="Underlined"/>
    <w:basedOn w:val="DefaultParagraphFont"/>
    <w:rsid w:val="00AB591D"/>
    <w:rPr>
      <w:u w:val="single"/>
    </w:rPr>
  </w:style>
  <w:style w:type="paragraph" w:customStyle="1" w:styleId="TableBodyTextRight">
    <w:name w:val="Table Body Text Right"/>
    <w:basedOn w:val="TableBodyText"/>
    <w:rsid w:val="00AB5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91D"/>
    <w:rPr>
      <w:sz w:val="18"/>
    </w:rPr>
  </w:style>
  <w:style w:type="paragraph" w:customStyle="1" w:styleId="BodySmallRight">
    <w:name w:val="Body Small Right"/>
    <w:basedOn w:val="BodyTextRight"/>
    <w:rsid w:val="00AB591D"/>
    <w:rPr>
      <w:sz w:val="18"/>
      <w:szCs w:val="18"/>
    </w:rPr>
  </w:style>
  <w:style w:type="paragraph" w:customStyle="1" w:styleId="MarginEdition">
    <w:name w:val="Margin Edition"/>
    <w:basedOn w:val="MarginNote"/>
    <w:rsid w:val="00AB5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91D"/>
    <w:rPr>
      <w:sz w:val="2"/>
      <w:szCs w:val="2"/>
    </w:rPr>
  </w:style>
  <w:style w:type="character" w:customStyle="1" w:styleId="Small">
    <w:name w:val="Small"/>
    <w:basedOn w:val="DefaultParagraphFont"/>
    <w:rsid w:val="00AB591D"/>
    <w:rPr>
      <w:sz w:val="16"/>
    </w:rPr>
  </w:style>
  <w:style w:type="paragraph" w:customStyle="1" w:styleId="WideTable">
    <w:name w:val="Wide Table"/>
    <w:basedOn w:val="Normal"/>
    <w:rsid w:val="00AB5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91D"/>
  </w:style>
  <w:style w:type="paragraph" w:styleId="Quote">
    <w:name w:val="Quote"/>
    <w:basedOn w:val="Heading1"/>
    <w:link w:val="QuoteChar"/>
    <w:qFormat/>
    <w:rsid w:val="00AB5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91D"/>
    <w:pPr>
      <w:pageBreakBefore/>
    </w:pPr>
  </w:style>
  <w:style w:type="paragraph" w:customStyle="1" w:styleId="Border">
    <w:name w:val="Border"/>
    <w:basedOn w:val="Normal"/>
    <w:qFormat/>
    <w:rsid w:val="00AB5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91D"/>
    <w:rPr>
      <w:u w:val="single"/>
    </w:rPr>
  </w:style>
  <w:style w:type="character" w:customStyle="1" w:styleId="BoldandItalics">
    <w:name w:val="Bold and Italics"/>
    <w:qFormat/>
    <w:rsid w:val="00AB591D"/>
    <w:rPr>
      <w:b/>
      <w:i/>
      <w:u w:val="none"/>
    </w:rPr>
  </w:style>
  <w:style w:type="paragraph" w:styleId="BalloonText">
    <w:name w:val="Balloon Text"/>
    <w:basedOn w:val="Normal"/>
    <w:link w:val="BalloonTextChar"/>
    <w:rsid w:val="00AB5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91D"/>
    <w:pPr>
      <w:spacing w:before="0" w:after="0"/>
    </w:pPr>
  </w:style>
  <w:style w:type="paragraph" w:customStyle="1" w:styleId="BodyTextBold">
    <w:name w:val="Body Text Bold"/>
    <w:basedOn w:val="BodyText"/>
    <w:qFormat/>
    <w:rsid w:val="00AB591D"/>
    <w:rPr>
      <w:b/>
    </w:rPr>
  </w:style>
  <w:style w:type="character" w:styleId="Hyperlink">
    <w:name w:val="Hyperlink"/>
    <w:basedOn w:val="DefaultParagraphFont"/>
    <w:uiPriority w:val="99"/>
    <w:unhideWhenUsed/>
    <w:rsid w:val="00165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3158</Characters>
  <Application>Microsoft Office Word</Application>
  <DocSecurity>0</DocSecurity>
  <Lines>121</Lines>
  <Paragraphs>91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AMPA2082 Wash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