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AC1" w:rsidP="00511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AMPA2065 Wash carcase</w:t>
      </w:r>
      <w:r>
        <w:fldChar w:fldCharType="end"/>
      </w:r>
    </w:p>
    <w:p w:rsidR="00511AC1" w:rsidP="00511AC1">
      <w:pPr>
        <w:pStyle w:val="Version"/>
        <w:sectPr w:rsidSect="00836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A2B" w:rsidP="00836A2B">
      <w:pPr>
        <w:pStyle w:val="SuperHeading"/>
      </w:pPr>
      <w:r w:rsidRPr="00836A2B">
        <w:t>AMPA2065 Wash carcase</w:t>
      </w:r>
    </w:p>
    <w:p w:rsidR="00000000" w:rsidRPr="00836A2B" w:rsidP="00836A2B">
      <w:pPr>
        <w:pStyle w:val="Heading1"/>
      </w:pPr>
      <w:bookmarkStart w:id="1" w:name="O_895466"/>
      <w:bookmarkEnd w:id="1"/>
      <w:r w:rsidRPr="00836A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6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Comment</w:t>
            </w:r>
          </w:p>
        </w:tc>
      </w:tr>
      <w:tr w:rsidTr="00836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2B" w:rsidP="00836A2B">
            <w:pPr>
              <w:pStyle w:val="BodyText"/>
            </w:pPr>
            <w:r w:rsidRPr="00836A2B">
              <w:t>Initial release</w:t>
            </w:r>
          </w:p>
        </w:tc>
      </w:tr>
    </w:tbl>
    <w:p w:rsidR="00000000" w:rsidRPr="00836A2B" w:rsidP="00836A2B">
      <w:pPr>
        <w:pStyle w:val="BodyText"/>
      </w:pPr>
    </w:p>
    <w:p w:rsidR="00000000" w:rsidRPr="00836A2B" w:rsidP="00836A2B">
      <w:pPr>
        <w:pStyle w:val="AllowPageBreak"/>
      </w:pPr>
    </w:p>
    <w:p w:rsidR="00000000" w:rsidRPr="00836A2B" w:rsidP="00836A2B">
      <w:pPr>
        <w:pStyle w:val="Heading1"/>
      </w:pPr>
      <w:bookmarkStart w:id="2" w:name="O_895467"/>
      <w:bookmarkEnd w:id="2"/>
      <w:r w:rsidRPr="00836A2B">
        <w:t>Application</w:t>
      </w:r>
    </w:p>
    <w:p w:rsidR="00000000" w:rsidRPr="00836A2B" w:rsidP="00511AC1">
      <w:pPr>
        <w:pStyle w:val="BodyText"/>
      </w:pPr>
      <w:r w:rsidRPr="00836A2B">
        <w:t xml:space="preserve">This unit describes the skills and knowledge required to wash a carcase or operate and monitor a wash cabinet to remove blood, bone dust or any other extraneous </w:t>
      </w:r>
      <w:r w:rsidRPr="00836A2B">
        <w:t>matter from a carcase.</w:t>
      </w:r>
    </w:p>
    <w:p w:rsidR="00000000" w:rsidRPr="00836A2B" w:rsidP="00511AC1">
      <w:pPr>
        <w:pStyle w:val="BodyText"/>
      </w:pPr>
      <w:r w:rsidRPr="00836A2B">
        <w:t>This unit is applicable to workers in a registered meat processing premises such as an abattoir or game meat processing establishment.</w:t>
      </w:r>
    </w:p>
    <w:p w:rsidR="00000000" w:rsidRPr="00836A2B" w:rsidP="00511AC1">
      <w:pPr>
        <w:pStyle w:val="BodyText"/>
      </w:pPr>
      <w:r w:rsidRPr="00836A2B">
        <w:t xml:space="preserve">All work should be carried out to comply with workplace and hygiene requirements. </w:t>
      </w:r>
    </w:p>
    <w:p w:rsidR="00000000" w:rsidRPr="00836A2B" w:rsidP="00511AC1">
      <w:pPr>
        <w:pStyle w:val="BodyText"/>
      </w:pPr>
      <w:r w:rsidRPr="00836A2B">
        <w:t>This unit ap</w:t>
      </w:r>
      <w:r w:rsidRPr="00836A2B">
        <w:t>plies to individuals who work under general supervision, exercise limited autonomy and have some accountability for their own work.</w:t>
      </w:r>
    </w:p>
    <w:p w:rsidR="00000000" w:rsidRPr="00836A2B" w:rsidP="00511AC1">
      <w:pPr>
        <w:pStyle w:val="BodyText"/>
      </w:pPr>
      <w:r w:rsidRPr="00836A2B">
        <w:t>No occupational licensing, legislative or certification requirements are known to apply to this unit at the time of publica</w:t>
      </w:r>
      <w:r w:rsidRPr="00836A2B">
        <w:t>tion.</w:t>
      </w:r>
    </w:p>
    <w:p w:rsidR="00000000" w:rsidRPr="00836A2B" w:rsidP="00511AC1">
      <w:pPr>
        <w:pStyle w:val="BodyText"/>
      </w:pPr>
      <w:r w:rsidRPr="00836A2B">
        <w:t>This unit must be delivered and assessed in the context of Australian meat processing standards and regulations.</w:t>
      </w:r>
    </w:p>
    <w:p w:rsidR="00000000" w:rsidRPr="00836A2B" w:rsidP="00836A2B">
      <w:pPr>
        <w:pStyle w:val="Heading1"/>
      </w:pPr>
      <w:bookmarkStart w:id="3" w:name="O_895468"/>
      <w:bookmarkEnd w:id="3"/>
      <w:r w:rsidRPr="00836A2B">
        <w:t>Pre-requisite Unit</w:t>
      </w:r>
    </w:p>
    <w:p w:rsidR="00000000" w:rsidRPr="00836A2B" w:rsidP="00511AC1">
      <w:pPr>
        <w:pStyle w:val="BodyText"/>
      </w:pPr>
      <w:r w:rsidRPr="00836A2B">
        <w:t>Nil.</w:t>
      </w:r>
    </w:p>
    <w:p w:rsidR="00000000" w:rsidRPr="00836A2B" w:rsidP="00836A2B">
      <w:pPr>
        <w:pStyle w:val="Heading1"/>
      </w:pPr>
      <w:bookmarkStart w:id="4" w:name="O_895470"/>
      <w:bookmarkEnd w:id="4"/>
      <w:r w:rsidRPr="00836A2B">
        <w:t>Unit Sector</w:t>
      </w:r>
    </w:p>
    <w:p w:rsidR="00000000" w:rsidRPr="00836A2B" w:rsidP="00836A2B">
      <w:pPr>
        <w:pStyle w:val="Heading1"/>
      </w:pPr>
      <w:bookmarkStart w:id="5" w:name="O_895471"/>
      <w:bookmarkEnd w:id="5"/>
      <w:r w:rsidRPr="00836A2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11A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Heading4"/>
              <w:rPr>
                <w:lang w:val="en-NZ"/>
              </w:rPr>
            </w:pPr>
            <w:r w:rsidRPr="00836A2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Heading4"/>
              <w:rPr>
                <w:lang w:val="en-NZ"/>
              </w:rPr>
            </w:pPr>
            <w:r w:rsidRPr="00836A2B">
              <w:t>Performa</w:t>
            </w:r>
            <w:r w:rsidRPr="00836A2B">
              <w:t>nce criteria</w:t>
            </w:r>
          </w:p>
        </w:tc>
      </w:tr>
      <w:tr w:rsidTr="00511A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Performance criteria describe the performance needed to demonstrate achievement of the element.</w:t>
            </w:r>
          </w:p>
        </w:tc>
      </w:tr>
      <w:tr w:rsidTr="00511A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List"/>
              <w:rPr>
                <w:lang w:val="en-NZ"/>
              </w:rPr>
            </w:pPr>
            <w:r w:rsidRPr="00836A2B">
              <w:t>1.</w:t>
            </w:r>
            <w:r w:rsidRPr="00836A2B">
              <w:tab/>
              <w:t>Wash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2B" w:rsidP="00836A2B">
            <w:pPr>
              <w:pStyle w:val="List"/>
            </w:pPr>
            <w:r w:rsidRPr="00836A2B">
              <w:t>1.1</w:t>
            </w:r>
            <w:r w:rsidRPr="00836A2B">
              <w:tab/>
            </w:r>
            <w:r w:rsidRPr="00836A2B">
              <w:t>Wash carcase to remove blood, bone dust or any other extraneous matter from a carcase</w:t>
            </w:r>
          </w:p>
          <w:p w:rsidR="00000000" w:rsidRPr="00836A2B" w:rsidP="00836A2B">
            <w:pPr>
              <w:pStyle w:val="List"/>
            </w:pPr>
            <w:r w:rsidRPr="00836A2B">
              <w:t>1.2</w:t>
            </w:r>
            <w:r w:rsidRPr="00836A2B">
              <w:tab/>
              <w:t>Wash carcase to workplace requirements</w:t>
            </w:r>
          </w:p>
          <w:p w:rsidR="00000000" w:rsidRPr="00836A2B" w:rsidP="00836A2B">
            <w:pPr>
              <w:pStyle w:val="List"/>
            </w:pPr>
            <w:r w:rsidRPr="00836A2B">
              <w:t>1.3</w:t>
            </w:r>
            <w:r w:rsidRPr="00836A2B">
              <w:tab/>
              <w:t>Wash carcase to workplace health and safety requirements</w:t>
            </w:r>
          </w:p>
          <w:p w:rsidR="00000000" w:rsidRPr="00836A2B" w:rsidP="00836A2B">
            <w:pPr>
              <w:pStyle w:val="List"/>
            </w:pPr>
            <w:r w:rsidRPr="00836A2B">
              <w:t>1.4</w:t>
            </w:r>
            <w:r w:rsidRPr="00836A2B">
              <w:tab/>
              <w:t>Identify types and sources of potential contamination and cros</w:t>
            </w:r>
            <w:r w:rsidRPr="00836A2B">
              <w:t>s-contamination</w:t>
            </w:r>
          </w:p>
        </w:tc>
      </w:tr>
    </w:tbl>
    <w:p w:rsidR="00000000" w:rsidRPr="00836A2B" w:rsidP="00836A2B">
      <w:pPr>
        <w:pStyle w:val="BodyText"/>
      </w:pPr>
    </w:p>
    <w:p w:rsidR="00000000" w:rsidRPr="00836A2B" w:rsidP="00836A2B">
      <w:pPr>
        <w:pStyle w:val="AllowPageBreak"/>
      </w:pPr>
    </w:p>
    <w:p w:rsidR="00000000" w:rsidRPr="00836A2B" w:rsidP="00836A2B">
      <w:pPr>
        <w:pStyle w:val="Heading1"/>
      </w:pPr>
      <w:bookmarkStart w:id="6" w:name="O_895472"/>
      <w:bookmarkEnd w:id="6"/>
      <w:r w:rsidRPr="00836A2B">
        <w:t>Foundation Skills</w:t>
      </w:r>
    </w:p>
    <w:p w:rsidR="00000000" w:rsidRPr="00836A2B" w:rsidP="00511AC1">
      <w:pPr>
        <w:pStyle w:val="BodyText"/>
      </w:pPr>
      <w:r w:rsidRPr="00836A2B">
        <w:t>Foundation Skills essential to performance are explicit in the performance criteria of this unit of competency.</w:t>
      </w:r>
    </w:p>
    <w:p w:rsidR="00000000" w:rsidRPr="00836A2B" w:rsidP="00836A2B">
      <w:pPr>
        <w:pStyle w:val="Heading1"/>
      </w:pPr>
      <w:bookmarkStart w:id="7" w:name="O_895473"/>
      <w:bookmarkEnd w:id="7"/>
      <w:r w:rsidRPr="00836A2B">
        <w:t>Range of Conditions</w:t>
      </w:r>
    </w:p>
    <w:p w:rsidR="00000000" w:rsidRPr="00836A2B" w:rsidP="00836A2B">
      <w:pPr>
        <w:pStyle w:val="Heading1"/>
      </w:pPr>
      <w:bookmarkStart w:id="8" w:name="O_895474"/>
      <w:bookmarkEnd w:id="8"/>
      <w:r w:rsidRPr="00836A2B">
        <w:t>Unit Mapping Information</w:t>
      </w:r>
    </w:p>
    <w:p w:rsidR="00000000" w:rsidRPr="00836A2B" w:rsidP="00511AC1">
      <w:pPr>
        <w:pStyle w:val="BodyText"/>
      </w:pPr>
      <w:r w:rsidRPr="00836A2B">
        <w:t>This unit is equivalent to MTMP2066C Wash carcase.</w:t>
      </w:r>
    </w:p>
    <w:p w:rsidR="00000000" w:rsidRPr="00836A2B" w:rsidP="00836A2B">
      <w:pPr>
        <w:pStyle w:val="Heading1"/>
      </w:pPr>
      <w:bookmarkStart w:id="9" w:name="O_895481"/>
      <w:bookmarkEnd w:id="9"/>
      <w:r w:rsidRPr="00836A2B">
        <w:t>Links</w:t>
      </w:r>
    </w:p>
    <w:p w:rsidR="00000000" w:rsidRPr="00836A2B" w:rsidP="00511AC1">
      <w:pPr>
        <w:pStyle w:val="BodyText"/>
      </w:pPr>
      <w:r w:rsidRPr="00836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24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6A2B" w:rsidP="00511AC1">
      <w:pPr>
        <w:pStyle w:val="BodyText"/>
        <w:sectPr w:rsidSect="00836A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A2B" w:rsidP="00836A2B">
      <w:pPr>
        <w:pStyle w:val="SuperHeading"/>
      </w:pPr>
      <w:r w:rsidRPr="00836A2B">
        <w:t>Assessment Requirements for AMPA2065 Wash carcase</w:t>
      </w:r>
    </w:p>
    <w:p w:rsidR="00000000" w:rsidRPr="00836A2B" w:rsidP="00836A2B">
      <w:pPr>
        <w:pStyle w:val="Heading1"/>
      </w:pPr>
      <w:bookmarkStart w:id="10" w:name="O_895476"/>
      <w:bookmarkEnd w:id="10"/>
      <w:r w:rsidRPr="00836A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6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TableHeading"/>
              <w:rPr>
                <w:lang w:val="en-NZ"/>
              </w:rPr>
            </w:pPr>
            <w:r w:rsidRPr="00836A2B">
              <w:t>Comment</w:t>
            </w:r>
          </w:p>
        </w:tc>
      </w:tr>
      <w:tr w:rsidTr="00836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A2B">
            <w:pPr>
              <w:pStyle w:val="BodyText"/>
              <w:rPr>
                <w:lang w:val="en-NZ"/>
              </w:rPr>
            </w:pPr>
            <w:r w:rsidRPr="00836A2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A2B" w:rsidP="00836A2B">
            <w:pPr>
              <w:pStyle w:val="BodyText"/>
            </w:pPr>
            <w:r w:rsidRPr="00836A2B">
              <w:t>Initial release</w:t>
            </w:r>
          </w:p>
        </w:tc>
      </w:tr>
    </w:tbl>
    <w:p w:rsidR="00000000" w:rsidRPr="00836A2B" w:rsidP="00836A2B">
      <w:pPr>
        <w:pStyle w:val="BodyText"/>
      </w:pPr>
    </w:p>
    <w:p w:rsidR="00000000" w:rsidRPr="00836A2B" w:rsidP="00836A2B">
      <w:pPr>
        <w:pStyle w:val="AllowPageBreak"/>
      </w:pPr>
    </w:p>
    <w:p w:rsidR="00000000" w:rsidRPr="00836A2B" w:rsidP="00836A2B">
      <w:pPr>
        <w:pStyle w:val="Heading1"/>
      </w:pPr>
      <w:bookmarkStart w:id="11" w:name="O_895477"/>
      <w:bookmarkEnd w:id="11"/>
      <w:r w:rsidRPr="00836A2B">
        <w:t>Performance Evidence</w:t>
      </w:r>
    </w:p>
    <w:p w:rsidR="00000000" w:rsidRPr="00836A2B" w:rsidP="00511AC1">
      <w:pPr>
        <w:pStyle w:val="BodyText"/>
      </w:pPr>
      <w:r w:rsidRPr="00836A2B">
        <w:t>The candidate must decontaminate a carcase by washing, operating and monitoring a wash cabinet or any post trim contamination process.</w:t>
      </w:r>
    </w:p>
    <w:p w:rsidR="00000000" w:rsidRPr="00836A2B" w:rsidP="00511AC1">
      <w:pPr>
        <w:pStyle w:val="BodyText"/>
      </w:pPr>
      <w:r w:rsidRPr="00836A2B">
        <w:t xml:space="preserve">The candidate must: </w:t>
      </w:r>
    </w:p>
    <w:p w:rsidR="00000000" w:rsidRPr="00836A2B" w:rsidP="00836A2B">
      <w:pPr>
        <w:pStyle w:val="ListBullet"/>
      </w:pPr>
      <w:r w:rsidRPr="00836A2B">
        <w:t>wash the carcase to workplace requirements</w:t>
      </w:r>
    </w:p>
    <w:p w:rsidR="00000000" w:rsidRPr="00836A2B" w:rsidP="00836A2B">
      <w:pPr>
        <w:pStyle w:val="ListBullet"/>
      </w:pPr>
      <w:r w:rsidRPr="00836A2B">
        <w:t>wash the carcase without causing cont</w:t>
      </w:r>
      <w:r w:rsidRPr="00836A2B">
        <w:t>amination to the carcase</w:t>
      </w:r>
    </w:p>
    <w:p w:rsidR="00000000" w:rsidRPr="00836A2B" w:rsidP="00836A2B">
      <w:pPr>
        <w:pStyle w:val="AllowPageBreak"/>
      </w:pPr>
    </w:p>
    <w:p w:rsidR="00000000" w:rsidRPr="00836A2B" w:rsidP="00836A2B">
      <w:pPr>
        <w:pStyle w:val="Heading1"/>
      </w:pPr>
      <w:bookmarkStart w:id="12" w:name="O_895478"/>
      <w:bookmarkEnd w:id="12"/>
      <w:r w:rsidRPr="00836A2B">
        <w:t>Knowledge Evidence</w:t>
      </w:r>
    </w:p>
    <w:p w:rsidR="00000000" w:rsidRPr="00836A2B" w:rsidP="00511AC1">
      <w:pPr>
        <w:pStyle w:val="BodyText"/>
      </w:pPr>
      <w:r w:rsidRPr="00836A2B">
        <w:t xml:space="preserve">The candidate must demonstrate a basic factual, technical and procedural knowledge of: </w:t>
      </w:r>
    </w:p>
    <w:p w:rsidR="00000000" w:rsidRPr="00836A2B" w:rsidP="00836A2B">
      <w:pPr>
        <w:pStyle w:val="ListBullet"/>
      </w:pPr>
      <w:r w:rsidRPr="00836A2B">
        <w:t>purpose of washing the carcase</w:t>
      </w:r>
    </w:p>
    <w:p w:rsidR="00000000" w:rsidRPr="00836A2B" w:rsidP="00836A2B">
      <w:pPr>
        <w:pStyle w:val="ListBullet"/>
      </w:pPr>
      <w:r w:rsidRPr="00836A2B">
        <w:t>regulatory requirements applicable to washing carcases</w:t>
      </w:r>
    </w:p>
    <w:p w:rsidR="00000000" w:rsidRPr="00836A2B" w:rsidP="00836A2B">
      <w:pPr>
        <w:pStyle w:val="ListBullet"/>
      </w:pPr>
      <w:r w:rsidRPr="00836A2B">
        <w:t>potential for contam</w:t>
      </w:r>
      <w:r w:rsidRPr="00836A2B">
        <w:t>inating the carcase during washing</w:t>
      </w:r>
    </w:p>
    <w:p w:rsidR="00000000" w:rsidRPr="00836A2B" w:rsidP="00836A2B">
      <w:pPr>
        <w:pStyle w:val="ListBullet"/>
      </w:pPr>
      <w:r w:rsidRPr="00836A2B">
        <w:t>workplace requirements for washing the carcase</w:t>
      </w:r>
    </w:p>
    <w:p w:rsidR="00000000" w:rsidRPr="00836A2B" w:rsidP="00836A2B">
      <w:pPr>
        <w:pStyle w:val="ListBullet"/>
      </w:pPr>
      <w:r w:rsidRPr="00836A2B">
        <w:t>why water usage should be kept to a minimum whilst washing the carcase</w:t>
      </w:r>
    </w:p>
    <w:p w:rsidR="00000000" w:rsidRPr="00836A2B" w:rsidP="00836A2B">
      <w:pPr>
        <w:pStyle w:val="AllowPageBreak"/>
      </w:pPr>
    </w:p>
    <w:p w:rsidR="00000000" w:rsidRPr="00836A2B" w:rsidP="00836A2B">
      <w:pPr>
        <w:pStyle w:val="Heading1"/>
      </w:pPr>
      <w:bookmarkStart w:id="13" w:name="O_895479"/>
      <w:bookmarkEnd w:id="13"/>
      <w:r w:rsidRPr="00836A2B">
        <w:t>Assessment Conditions</w:t>
      </w:r>
    </w:p>
    <w:p w:rsidR="00000000" w:rsidRPr="00836A2B" w:rsidP="00511AC1">
      <w:pPr>
        <w:pStyle w:val="BodyText"/>
      </w:pPr>
      <w:r w:rsidRPr="00836A2B">
        <w:t>Assessment must be conducted in a registered meat processing pla</w:t>
      </w:r>
      <w:r w:rsidRPr="00836A2B">
        <w:t>nt.</w:t>
      </w:r>
    </w:p>
    <w:p w:rsidR="00000000" w:rsidRPr="00836A2B" w:rsidP="00511AC1">
      <w:pPr>
        <w:pStyle w:val="BodyText"/>
      </w:pPr>
      <w:r w:rsidRPr="00836A2B">
        <w:t>Competency must be demonstrated at the normal rate of production.</w:t>
      </w:r>
    </w:p>
    <w:p w:rsidR="00000000" w:rsidRPr="00836A2B" w:rsidP="00511AC1">
      <w:pPr>
        <w:pStyle w:val="BodyText"/>
      </w:pPr>
      <w:r w:rsidRPr="00836A2B">
        <w:t xml:space="preserve">As a minimum, the following three forms of assessment must be used: </w:t>
      </w:r>
    </w:p>
    <w:p w:rsidR="00000000" w:rsidRPr="00836A2B" w:rsidP="00836A2B">
      <w:pPr>
        <w:pStyle w:val="ListBullet"/>
      </w:pPr>
      <w:r w:rsidRPr="00836A2B">
        <w:t>quiz of underpinning knowledge</w:t>
      </w:r>
    </w:p>
    <w:p w:rsidR="00000000" w:rsidRPr="00836A2B" w:rsidP="00836A2B">
      <w:pPr>
        <w:pStyle w:val="ListBullet"/>
      </w:pPr>
      <w:r w:rsidRPr="00836A2B">
        <w:t>workplace demonstration</w:t>
      </w:r>
    </w:p>
    <w:p w:rsidR="00000000" w:rsidRPr="00836A2B" w:rsidP="00836A2B">
      <w:pPr>
        <w:pStyle w:val="ListBullet"/>
      </w:pPr>
      <w:r w:rsidRPr="00836A2B">
        <w:t>workplace referee or third-party report of performance over time</w:t>
      </w:r>
    </w:p>
    <w:p w:rsidR="00000000" w:rsidRPr="00836A2B" w:rsidP="00836A2B">
      <w:pPr>
        <w:pStyle w:val="BodyText"/>
      </w:pPr>
    </w:p>
    <w:p w:rsidR="00000000" w:rsidRPr="00836A2B" w:rsidP="00511AC1">
      <w:pPr>
        <w:pStyle w:val="BodyText"/>
      </w:pPr>
      <w:r w:rsidRPr="00836A2B">
        <w:t>Assessors must satisfy the current standards for RTOs.</w:t>
      </w:r>
    </w:p>
    <w:p w:rsidR="00000000" w:rsidRPr="00836A2B" w:rsidP="00836A2B">
      <w:pPr>
        <w:pStyle w:val="Heading1"/>
      </w:pPr>
      <w:bookmarkStart w:id="14" w:name="O_895482"/>
      <w:bookmarkEnd w:id="14"/>
      <w:r w:rsidRPr="00836A2B">
        <w:t>Links</w:t>
      </w:r>
    </w:p>
    <w:p w:rsidR="00000000" w:rsidRPr="00836A2B" w:rsidP="00511AC1">
      <w:pPr>
        <w:pStyle w:val="BodyText"/>
      </w:pPr>
      <w:r w:rsidRPr="00836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241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6A2B" w:rsidP="00836A2B"/>
    <w:sectPr w:rsidSect="00836A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 w:rsidRPr="00511AC1" w:rsidP="00511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C1" w:rsidP="00836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AC1" w:rsidP="00836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1AC1" w:rsidP="00836A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 w:rsidP="00836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AC1">
      <w:t>Approved</w:t>
    </w:r>
    <w:r w:rsidR="00511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A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AC1">
      <w:rPr>
        <w:noProof/>
      </w:rPr>
      <w:t>4</w:t>
    </w:r>
    <w:r>
      <w:rPr>
        <w:noProof/>
      </w:rPr>
      <w:fldChar w:fldCharType="end"/>
    </w:r>
  </w:p>
  <w:p w:rsidR="00836A2B" w:rsidP="00836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AC1">
      <w:t>Skills Insight</w:t>
    </w:r>
    <w:r w:rsidR="00511AC1">
      <w:fldChar w:fldCharType="end"/>
    </w:r>
  </w:p>
  <w:p w:rsidR="00836A2B" w:rsidP="00836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A2B" w:rsidRPr="00511AC1" w:rsidP="00511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C1" w:rsidRPr="002D2AF8" w:rsidP="00836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AMPA2065 Wash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AC1" w:rsidP="00836A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A2B" w:rsidRPr="002D2AF8" w:rsidP="00836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AC1">
      <w:t>AMPA2065 Wash carcase</w:t>
    </w:r>
    <w:r w:rsidR="00511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AC1">
      <w:rPr>
        <w:noProof/>
      </w:rPr>
      <w:t>2 March 2025</w:t>
    </w:r>
    <w:r>
      <w:fldChar w:fldCharType="end"/>
    </w:r>
  </w:p>
  <w:p w:rsidR="00836A2B" w:rsidP="00836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5CC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2C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A2B"/>
  </w:style>
  <w:style w:type="character" w:customStyle="1" w:styleId="Heading1Char">
    <w:name w:val="Heading 1 Char"/>
    <w:basedOn w:val="DefaultParagraphFont"/>
    <w:link w:val="Heading1"/>
    <w:rsid w:val="00836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A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36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A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6A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A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6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6A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6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A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6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A2B"/>
    <w:rPr>
      <w:b/>
      <w:spacing w:val="0"/>
    </w:rPr>
  </w:style>
  <w:style w:type="paragraph" w:customStyle="1" w:styleId="SuperTitle">
    <w:name w:val="SuperTitle"/>
    <w:basedOn w:val="Title"/>
    <w:rsid w:val="00836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A2B"/>
    <w:rPr>
      <w:i/>
    </w:rPr>
  </w:style>
  <w:style w:type="paragraph" w:styleId="Caption">
    <w:name w:val="caption"/>
    <w:basedOn w:val="BodyText"/>
    <w:next w:val="Normal"/>
    <w:qFormat/>
    <w:rsid w:val="00836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A2B"/>
  </w:style>
  <w:style w:type="paragraph" w:styleId="TableofFigures">
    <w:name w:val="table of figures"/>
    <w:basedOn w:val="Normal"/>
    <w:next w:val="Normal"/>
    <w:semiHidden/>
    <w:rsid w:val="00836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A2B"/>
    <w:rPr>
      <w:rFonts w:ascii="Wingdings" w:hAnsi="Wingdings"/>
    </w:rPr>
  </w:style>
  <w:style w:type="character" w:customStyle="1" w:styleId="HotSpot">
    <w:name w:val="HotSpot"/>
    <w:rsid w:val="00836A2B"/>
    <w:rPr>
      <w:color w:val="0033CC"/>
      <w:u w:val="none"/>
    </w:rPr>
  </w:style>
  <w:style w:type="paragraph" w:customStyle="1" w:styleId="BodyTextRight">
    <w:name w:val="Body Text Right"/>
    <w:basedOn w:val="BodyText"/>
    <w:rsid w:val="00836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A2B"/>
    <w:rPr>
      <w:sz w:val="32"/>
    </w:rPr>
  </w:style>
  <w:style w:type="paragraph" w:customStyle="1" w:styleId="HeadingProcedure">
    <w:name w:val="Heading Procedure"/>
    <w:basedOn w:val="HeadingBase"/>
    <w:next w:val="Normal"/>
    <w:rsid w:val="00836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A2B"/>
    <w:pPr>
      <w:spacing w:before="60" w:after="60"/>
    </w:pPr>
  </w:style>
  <w:style w:type="paragraph" w:styleId="ListContinue">
    <w:name w:val="List Continue"/>
    <w:basedOn w:val="List"/>
    <w:rsid w:val="00836A2B"/>
    <w:pPr>
      <w:ind w:firstLine="0"/>
    </w:pPr>
  </w:style>
  <w:style w:type="paragraph" w:customStyle="1" w:styleId="ListNote">
    <w:name w:val="List Note"/>
    <w:basedOn w:val="List"/>
    <w:rsid w:val="00836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A2B"/>
    <w:rPr>
      <w:rFonts w:ascii="Courier New" w:hAnsi="Courier New"/>
    </w:rPr>
  </w:style>
  <w:style w:type="paragraph" w:customStyle="1" w:styleId="NoteBullet">
    <w:name w:val="Note Bullet"/>
    <w:basedOn w:val="Note"/>
    <w:rsid w:val="00836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A2B"/>
    <w:rPr>
      <w:b/>
      <w:smallCaps/>
    </w:rPr>
  </w:style>
  <w:style w:type="paragraph" w:customStyle="1" w:styleId="TableListNumber">
    <w:name w:val="Table List Number"/>
    <w:basedOn w:val="ListNumber"/>
    <w:rsid w:val="00836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A2B"/>
    <w:pPr>
      <w:numPr>
        <w:numId w:val="8"/>
      </w:numPr>
    </w:pPr>
  </w:style>
  <w:style w:type="paragraph" w:customStyle="1" w:styleId="ListAlpha2">
    <w:name w:val="List Alpha 2"/>
    <w:basedOn w:val="List2"/>
    <w:rsid w:val="00836A2B"/>
    <w:pPr>
      <w:numPr>
        <w:numId w:val="7"/>
      </w:numPr>
    </w:pPr>
  </w:style>
  <w:style w:type="paragraph" w:styleId="List2">
    <w:name w:val="List 2"/>
    <w:basedOn w:val="BodyText"/>
    <w:rsid w:val="00836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A2B"/>
    <w:pPr>
      <w:numPr>
        <w:numId w:val="3"/>
      </w:numPr>
    </w:pPr>
  </w:style>
  <w:style w:type="paragraph" w:styleId="ListContinue2">
    <w:name w:val="List Continue 2"/>
    <w:basedOn w:val="List2"/>
    <w:rsid w:val="00836A2B"/>
    <w:pPr>
      <w:ind w:firstLine="0"/>
    </w:pPr>
  </w:style>
  <w:style w:type="paragraph" w:styleId="ListContinue3">
    <w:name w:val="List Continue 3"/>
    <w:basedOn w:val="List3"/>
    <w:rsid w:val="00836A2B"/>
    <w:pPr>
      <w:ind w:left="1021" w:firstLine="0"/>
    </w:pPr>
  </w:style>
  <w:style w:type="paragraph" w:styleId="ListContinue4">
    <w:name w:val="List Continue 4"/>
    <w:basedOn w:val="List4"/>
    <w:rsid w:val="00836A2B"/>
    <w:pPr>
      <w:ind w:firstLine="0"/>
    </w:pPr>
  </w:style>
  <w:style w:type="paragraph" w:styleId="ListContinue5">
    <w:name w:val="List Continue 5"/>
    <w:basedOn w:val="List5"/>
    <w:rsid w:val="00836A2B"/>
    <w:pPr>
      <w:ind w:firstLine="0"/>
    </w:pPr>
  </w:style>
  <w:style w:type="paragraph" w:styleId="ListNumber3">
    <w:name w:val="List Number 3"/>
    <w:basedOn w:val="List3"/>
    <w:rsid w:val="00836A2B"/>
    <w:pPr>
      <w:numPr>
        <w:numId w:val="4"/>
      </w:numPr>
    </w:pPr>
  </w:style>
  <w:style w:type="paragraph" w:styleId="ListNumber4">
    <w:name w:val="List Number 4"/>
    <w:basedOn w:val="List4"/>
    <w:rsid w:val="00836A2B"/>
    <w:pPr>
      <w:numPr>
        <w:numId w:val="5"/>
      </w:numPr>
    </w:pPr>
  </w:style>
  <w:style w:type="paragraph" w:styleId="ListNumber5">
    <w:name w:val="List Number 5"/>
    <w:basedOn w:val="List5"/>
    <w:rsid w:val="00836A2B"/>
    <w:pPr>
      <w:numPr>
        <w:numId w:val="6"/>
      </w:numPr>
    </w:pPr>
  </w:style>
  <w:style w:type="paragraph" w:styleId="BlockText">
    <w:name w:val="Block Text"/>
    <w:basedOn w:val="Normal"/>
    <w:rsid w:val="00836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A2B"/>
    <w:rPr>
      <w:sz w:val="16"/>
      <w:vertAlign w:val="superscript"/>
    </w:rPr>
  </w:style>
  <w:style w:type="character" w:customStyle="1" w:styleId="Symbols">
    <w:name w:val="Symbols"/>
    <w:basedOn w:val="DefaultParagraphFont"/>
    <w:rsid w:val="00836A2B"/>
    <w:rPr>
      <w:rFonts w:ascii="Symbol" w:hAnsi="Symbol"/>
    </w:rPr>
  </w:style>
  <w:style w:type="character" w:customStyle="1" w:styleId="MenuOptions">
    <w:name w:val="Menu Options"/>
    <w:basedOn w:val="DefaultParagraphFont"/>
    <w:rsid w:val="00836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A2B"/>
    <w:rPr>
      <w:b/>
    </w:rPr>
  </w:style>
  <w:style w:type="character" w:customStyle="1" w:styleId="Underlined">
    <w:name w:val="Underlined"/>
    <w:basedOn w:val="DefaultParagraphFont"/>
    <w:rsid w:val="00836A2B"/>
    <w:rPr>
      <w:u w:val="single"/>
    </w:rPr>
  </w:style>
  <w:style w:type="paragraph" w:customStyle="1" w:styleId="TableBodyTextRight">
    <w:name w:val="Table Body Text Right"/>
    <w:basedOn w:val="TableBodyText"/>
    <w:rsid w:val="00836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A2B"/>
    <w:rPr>
      <w:sz w:val="18"/>
    </w:rPr>
  </w:style>
  <w:style w:type="paragraph" w:customStyle="1" w:styleId="BodySmallRight">
    <w:name w:val="Body Small Right"/>
    <w:basedOn w:val="BodyTextRight"/>
    <w:rsid w:val="00836A2B"/>
    <w:rPr>
      <w:sz w:val="18"/>
      <w:szCs w:val="18"/>
    </w:rPr>
  </w:style>
  <w:style w:type="paragraph" w:customStyle="1" w:styleId="MarginEdition">
    <w:name w:val="Margin Edition"/>
    <w:basedOn w:val="MarginNote"/>
    <w:rsid w:val="00836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A2B"/>
    <w:rPr>
      <w:sz w:val="2"/>
      <w:szCs w:val="2"/>
    </w:rPr>
  </w:style>
  <w:style w:type="character" w:customStyle="1" w:styleId="Small">
    <w:name w:val="Small"/>
    <w:basedOn w:val="DefaultParagraphFont"/>
    <w:rsid w:val="00836A2B"/>
    <w:rPr>
      <w:sz w:val="16"/>
    </w:rPr>
  </w:style>
  <w:style w:type="paragraph" w:customStyle="1" w:styleId="WideTable">
    <w:name w:val="Wide Table"/>
    <w:basedOn w:val="Normal"/>
    <w:rsid w:val="00836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A2B"/>
  </w:style>
  <w:style w:type="paragraph" w:styleId="Quote">
    <w:name w:val="Quote"/>
    <w:basedOn w:val="Heading1"/>
    <w:link w:val="QuoteChar"/>
    <w:qFormat/>
    <w:rsid w:val="00836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A2B"/>
    <w:pPr>
      <w:pageBreakBefore/>
    </w:pPr>
  </w:style>
  <w:style w:type="paragraph" w:customStyle="1" w:styleId="Border">
    <w:name w:val="Border"/>
    <w:basedOn w:val="Normal"/>
    <w:qFormat/>
    <w:rsid w:val="00836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A2B"/>
    <w:rPr>
      <w:u w:val="single"/>
    </w:rPr>
  </w:style>
  <w:style w:type="character" w:customStyle="1" w:styleId="BoldandItalics">
    <w:name w:val="Bold and Italics"/>
    <w:qFormat/>
    <w:rsid w:val="00836A2B"/>
    <w:rPr>
      <w:b/>
      <w:i/>
      <w:u w:val="none"/>
    </w:rPr>
  </w:style>
  <w:style w:type="paragraph" w:styleId="BalloonText">
    <w:name w:val="Balloon Text"/>
    <w:basedOn w:val="Normal"/>
    <w:link w:val="BalloonTextChar"/>
    <w:rsid w:val="00836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A2B"/>
    <w:pPr>
      <w:spacing w:before="0" w:after="0"/>
    </w:pPr>
  </w:style>
  <w:style w:type="paragraph" w:customStyle="1" w:styleId="BodyTextBold">
    <w:name w:val="Body Text Bold"/>
    <w:basedOn w:val="BodyText"/>
    <w:qFormat/>
    <w:rsid w:val="00836A2B"/>
    <w:rPr>
      <w:b/>
    </w:rPr>
  </w:style>
  <w:style w:type="character" w:styleId="Hyperlink">
    <w:name w:val="Hyperlink"/>
    <w:basedOn w:val="DefaultParagraphFont"/>
    <w:uiPriority w:val="99"/>
    <w:unhideWhenUsed/>
    <w:rsid w:val="00511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2978</Characters>
  <Application>Microsoft Office Word</Application>
  <DocSecurity>0</DocSecurity>
  <Lines>119</Lines>
  <Paragraphs>84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AMPA2065 Wash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