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628" w:rsidP="00A816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AMPA2022 Singe carcase</w:t>
      </w:r>
      <w:r>
        <w:fldChar w:fldCharType="end"/>
      </w:r>
    </w:p>
    <w:p w:rsidR="00A81628" w:rsidP="00A81628">
      <w:pPr>
        <w:pStyle w:val="Version"/>
        <w:sectPr w:rsidSect="001D2C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C79" w:rsidP="001D2C79">
      <w:pPr>
        <w:pStyle w:val="SuperHeading"/>
      </w:pPr>
      <w:r w:rsidRPr="001D2C79">
        <w:t>AMPA2022 Singe carcase</w:t>
      </w:r>
    </w:p>
    <w:p w:rsidR="00000000" w:rsidRPr="001D2C79" w:rsidP="001D2C79">
      <w:pPr>
        <w:pStyle w:val="Heading1"/>
      </w:pPr>
      <w:bookmarkStart w:id="1" w:name="O_890027"/>
      <w:bookmarkEnd w:id="1"/>
      <w:r w:rsidRPr="001D2C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D2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79">
            <w:pPr>
              <w:pStyle w:val="TableHeading"/>
              <w:rPr>
                <w:lang w:val="en-NZ"/>
              </w:rPr>
            </w:pPr>
            <w:r w:rsidRPr="001D2C7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79">
            <w:pPr>
              <w:pStyle w:val="TableHeading"/>
              <w:rPr>
                <w:lang w:val="en-NZ"/>
              </w:rPr>
            </w:pPr>
            <w:r w:rsidRPr="001D2C7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79">
            <w:pPr>
              <w:pStyle w:val="TableHeading"/>
              <w:rPr>
                <w:lang w:val="en-NZ"/>
              </w:rPr>
            </w:pPr>
            <w:r w:rsidRPr="001D2C79">
              <w:t>Comment</w:t>
            </w:r>
          </w:p>
        </w:tc>
      </w:tr>
      <w:tr w:rsidTr="001D2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79">
            <w:pPr>
              <w:pStyle w:val="BodyText"/>
              <w:rPr>
                <w:lang w:val="en-NZ"/>
              </w:rPr>
            </w:pPr>
            <w:r w:rsidRPr="001D2C7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79">
            <w:pPr>
              <w:pStyle w:val="BodyText"/>
              <w:rPr>
                <w:lang w:val="en-NZ"/>
              </w:rPr>
            </w:pPr>
            <w:r w:rsidRPr="001D2C7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79" w:rsidP="001D2C79">
            <w:pPr>
              <w:pStyle w:val="BodyText"/>
            </w:pPr>
            <w:r w:rsidRPr="001D2C79">
              <w:t>Initial release</w:t>
            </w:r>
          </w:p>
        </w:tc>
      </w:tr>
    </w:tbl>
    <w:p w:rsidR="00000000" w:rsidRPr="001D2C79" w:rsidP="001D2C79">
      <w:pPr>
        <w:pStyle w:val="BodyText"/>
      </w:pPr>
    </w:p>
    <w:p w:rsidR="00000000" w:rsidRPr="001D2C79" w:rsidP="001D2C79">
      <w:pPr>
        <w:pStyle w:val="AllowPageBreak"/>
      </w:pPr>
    </w:p>
    <w:p w:rsidR="00000000" w:rsidRPr="001D2C79" w:rsidP="001D2C79">
      <w:pPr>
        <w:pStyle w:val="Heading1"/>
      </w:pPr>
      <w:bookmarkStart w:id="2" w:name="O_890028"/>
      <w:bookmarkEnd w:id="2"/>
      <w:r w:rsidRPr="001D2C79">
        <w:t>Application</w:t>
      </w:r>
    </w:p>
    <w:p w:rsidR="00000000" w:rsidRPr="001D2C79" w:rsidP="00A81628">
      <w:pPr>
        <w:pStyle w:val="BodyText"/>
      </w:pPr>
      <w:r w:rsidRPr="001D2C79">
        <w:t>This unit describes the skills and knowledge required to singe a carcase as part of the dressing procedures on a slaughter floor.</w:t>
      </w:r>
    </w:p>
    <w:p w:rsidR="00000000" w:rsidRPr="001D2C79" w:rsidP="00A81628">
      <w:pPr>
        <w:pStyle w:val="BodyText"/>
      </w:pPr>
      <w:r w:rsidRPr="001D2C79">
        <w:t>This unit is applicable to workers on the slaughter floor required to singe pig skin or goat carcases either manually or by monitoring an automated process.</w:t>
      </w:r>
    </w:p>
    <w:p w:rsidR="00000000" w:rsidRPr="001D2C79" w:rsidP="00A81628">
      <w:pPr>
        <w:pStyle w:val="BodyText"/>
      </w:pPr>
      <w:r w:rsidRPr="001D2C79">
        <w:t xml:space="preserve">All work should be carried out to comply with workplace and hygiene requirements. </w:t>
      </w:r>
    </w:p>
    <w:p w:rsidR="00000000" w:rsidRPr="001D2C79" w:rsidP="00A81628">
      <w:pPr>
        <w:pStyle w:val="BodyText"/>
      </w:pPr>
      <w:r w:rsidRPr="001D2C79">
        <w:t>This unit appl</w:t>
      </w:r>
      <w:r w:rsidRPr="001D2C79">
        <w:t>ies to individuals who work under general supervision, exercise limited autonomy and have some accountability for their own work.</w:t>
      </w:r>
    </w:p>
    <w:p w:rsidR="00000000" w:rsidRPr="001D2C79" w:rsidP="00A81628">
      <w:pPr>
        <w:pStyle w:val="BodyText"/>
      </w:pPr>
      <w:r w:rsidRPr="001D2C79">
        <w:t>No occupational licensing, legislative or certification requirements are known to apply to this unit at the time of publicati</w:t>
      </w:r>
      <w:r w:rsidRPr="001D2C79">
        <w:t>on.</w:t>
      </w:r>
    </w:p>
    <w:p w:rsidR="00000000" w:rsidRPr="001D2C79" w:rsidP="00A81628">
      <w:pPr>
        <w:pStyle w:val="BodyText"/>
      </w:pPr>
      <w:r w:rsidRPr="001D2C79">
        <w:t>This unit must be delivered and assessed in the context of Australian meat processing standards and regulations.</w:t>
      </w:r>
    </w:p>
    <w:p w:rsidR="00000000" w:rsidRPr="001D2C79" w:rsidP="001D2C79">
      <w:pPr>
        <w:pStyle w:val="Heading1"/>
      </w:pPr>
      <w:bookmarkStart w:id="3" w:name="O_890029"/>
      <w:bookmarkEnd w:id="3"/>
      <w:r w:rsidRPr="001D2C79">
        <w:t>Pre-requisite Unit</w:t>
      </w:r>
    </w:p>
    <w:p w:rsidR="00000000" w:rsidRPr="001D2C79" w:rsidP="00A81628">
      <w:pPr>
        <w:pStyle w:val="BodyText"/>
      </w:pPr>
      <w:r w:rsidRPr="001D2C79">
        <w:t>Nil.</w:t>
      </w:r>
    </w:p>
    <w:p w:rsidR="00000000" w:rsidRPr="001D2C79" w:rsidP="001D2C79">
      <w:pPr>
        <w:pStyle w:val="Heading1"/>
      </w:pPr>
      <w:bookmarkStart w:id="4" w:name="O_890031"/>
      <w:bookmarkEnd w:id="4"/>
      <w:r w:rsidRPr="001D2C79">
        <w:t>Unit Sector</w:t>
      </w:r>
    </w:p>
    <w:p w:rsidR="00000000" w:rsidRPr="001D2C79" w:rsidP="001D2C79">
      <w:pPr>
        <w:pStyle w:val="Heading1"/>
      </w:pPr>
      <w:bookmarkStart w:id="5" w:name="O_890032"/>
      <w:bookmarkEnd w:id="5"/>
      <w:r w:rsidRPr="001D2C7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816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79">
            <w:pPr>
              <w:pStyle w:val="Heading4"/>
              <w:rPr>
                <w:lang w:val="en-NZ"/>
              </w:rPr>
            </w:pPr>
            <w:r w:rsidRPr="001D2C7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79">
            <w:pPr>
              <w:pStyle w:val="Heading4"/>
              <w:rPr>
                <w:lang w:val="en-NZ"/>
              </w:rPr>
            </w:pPr>
            <w:r w:rsidRPr="001D2C79">
              <w:t>Performanc</w:t>
            </w:r>
            <w:r w:rsidRPr="001D2C79">
              <w:t>e criteria</w:t>
            </w:r>
          </w:p>
        </w:tc>
      </w:tr>
      <w:tr w:rsidTr="00A816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79">
            <w:pPr>
              <w:pStyle w:val="BodyText"/>
              <w:rPr>
                <w:lang w:val="en-NZ"/>
              </w:rPr>
            </w:pPr>
            <w:r w:rsidRPr="001D2C79">
              <w:t xml:space="preserve">Elements describe the </w:t>
            </w:r>
            <w:r w:rsidRPr="001D2C7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79">
            <w:pPr>
              <w:pStyle w:val="BodyText"/>
              <w:rPr>
                <w:lang w:val="en-NZ"/>
              </w:rPr>
            </w:pPr>
            <w:r w:rsidRPr="001D2C79">
              <w:t xml:space="preserve">Performance criteria describe the performance needed to </w:t>
            </w:r>
            <w:r w:rsidRPr="001D2C79">
              <w:t>demonstrate achievement of the element.</w:t>
            </w:r>
          </w:p>
        </w:tc>
      </w:tr>
      <w:tr w:rsidTr="00A8162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79">
            <w:pPr>
              <w:pStyle w:val="List"/>
              <w:rPr>
                <w:lang w:val="en-NZ"/>
              </w:rPr>
            </w:pPr>
            <w:r w:rsidRPr="001D2C79">
              <w:t>1.</w:t>
            </w:r>
            <w:r w:rsidRPr="001D2C79">
              <w:tab/>
              <w:t>Singe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79" w:rsidP="001D2C79">
            <w:pPr>
              <w:pStyle w:val="List"/>
            </w:pPr>
            <w:r w:rsidRPr="001D2C79">
              <w:t>1.1</w:t>
            </w:r>
            <w:r w:rsidRPr="001D2C79">
              <w:tab/>
              <w:t>Perform start-up procedures for singeing according to workplace requirements</w:t>
            </w:r>
          </w:p>
          <w:p w:rsidR="00000000" w:rsidRPr="001D2C79" w:rsidP="001D2C79">
            <w:pPr>
              <w:pStyle w:val="List"/>
            </w:pPr>
            <w:r w:rsidRPr="001D2C79">
              <w:t>1.2</w:t>
            </w:r>
            <w:r w:rsidRPr="001D2C79">
              <w:tab/>
            </w:r>
            <w:r w:rsidRPr="001D2C79">
              <w:t>Perform singe operation according to work instructions</w:t>
            </w:r>
          </w:p>
          <w:p w:rsidR="00000000" w:rsidRPr="001D2C79" w:rsidP="001D2C79">
            <w:pPr>
              <w:pStyle w:val="List"/>
            </w:pPr>
            <w:r w:rsidRPr="001D2C79">
              <w:t>1.3</w:t>
            </w:r>
            <w:r w:rsidRPr="001D2C79">
              <w:tab/>
              <w:t>Monitor effectiveness of singe operation</w:t>
            </w:r>
          </w:p>
          <w:p w:rsidR="00000000" w:rsidRPr="001D2C79" w:rsidP="001D2C79">
            <w:pPr>
              <w:pStyle w:val="List"/>
            </w:pPr>
            <w:r w:rsidRPr="001D2C79">
              <w:t>1.4</w:t>
            </w:r>
            <w:r w:rsidRPr="001D2C79">
              <w:tab/>
              <w:t>Report problems with singeing to the supervisor in accordance with workplace requirements</w:t>
            </w:r>
          </w:p>
          <w:p w:rsidR="00000000" w:rsidRPr="001D2C79" w:rsidP="001D2C79">
            <w:pPr>
              <w:pStyle w:val="List"/>
            </w:pPr>
            <w:r w:rsidRPr="001D2C79">
              <w:t>1.5</w:t>
            </w:r>
            <w:r w:rsidRPr="001D2C79">
              <w:tab/>
              <w:t>Perform singe operation in accordance with enterprise work</w:t>
            </w:r>
            <w:r w:rsidRPr="001D2C79">
              <w:t>place health and safety requirements</w:t>
            </w:r>
          </w:p>
        </w:tc>
      </w:tr>
    </w:tbl>
    <w:p w:rsidR="00000000" w:rsidRPr="001D2C79" w:rsidP="001D2C79">
      <w:pPr>
        <w:pStyle w:val="BodyText"/>
      </w:pPr>
    </w:p>
    <w:p w:rsidR="00000000" w:rsidRPr="001D2C79" w:rsidP="001D2C79">
      <w:pPr>
        <w:pStyle w:val="AllowPageBreak"/>
      </w:pPr>
    </w:p>
    <w:p w:rsidR="00000000" w:rsidRPr="001D2C79" w:rsidP="001D2C79">
      <w:pPr>
        <w:pStyle w:val="Heading1"/>
      </w:pPr>
      <w:bookmarkStart w:id="6" w:name="O_890033"/>
      <w:bookmarkEnd w:id="6"/>
      <w:r w:rsidRPr="001D2C79">
        <w:t>Foundation Skills</w:t>
      </w:r>
    </w:p>
    <w:p w:rsidR="00000000" w:rsidRPr="001D2C79" w:rsidP="00A81628">
      <w:pPr>
        <w:pStyle w:val="BodyText"/>
      </w:pPr>
      <w:r w:rsidRPr="001D2C79">
        <w:t>Foundation Skills essential to performance are explicit in the performance criteria of this unit of competency.</w:t>
      </w:r>
    </w:p>
    <w:p w:rsidR="00000000" w:rsidRPr="001D2C79" w:rsidP="001D2C79">
      <w:pPr>
        <w:pStyle w:val="Heading1"/>
      </w:pPr>
      <w:bookmarkStart w:id="7" w:name="O_890034"/>
      <w:bookmarkEnd w:id="7"/>
      <w:r w:rsidRPr="001D2C79">
        <w:t>Range of Conditions</w:t>
      </w:r>
    </w:p>
    <w:p w:rsidR="00000000" w:rsidRPr="001D2C79" w:rsidP="001D2C79">
      <w:pPr>
        <w:pStyle w:val="Heading1"/>
      </w:pPr>
      <w:bookmarkStart w:id="8" w:name="O_890035"/>
      <w:bookmarkEnd w:id="8"/>
      <w:r w:rsidRPr="001D2C79">
        <w:t>Unit Mapping Information</w:t>
      </w:r>
    </w:p>
    <w:p w:rsidR="00000000" w:rsidRPr="001D2C79" w:rsidP="00A81628">
      <w:pPr>
        <w:pStyle w:val="BodyText"/>
      </w:pPr>
      <w:r w:rsidRPr="001D2C79">
        <w:t>This unit is equivalent to MTMP2028B Singe carcase.</w:t>
      </w:r>
    </w:p>
    <w:p w:rsidR="00000000" w:rsidRPr="001D2C79" w:rsidP="001D2C79">
      <w:pPr>
        <w:pStyle w:val="Heading1"/>
      </w:pPr>
      <w:bookmarkStart w:id="9" w:name="O_890042"/>
      <w:bookmarkEnd w:id="9"/>
      <w:r w:rsidRPr="001D2C79">
        <w:t>Links</w:t>
      </w:r>
    </w:p>
    <w:p w:rsidR="00000000" w:rsidRPr="001D2C79" w:rsidP="00A81628">
      <w:pPr>
        <w:pStyle w:val="BodyText"/>
      </w:pPr>
      <w:r w:rsidRPr="001D2C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B7EF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D2C79" w:rsidP="00A81628">
      <w:pPr>
        <w:pStyle w:val="BodyText"/>
        <w:sectPr w:rsidSect="001D2C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2C79" w:rsidP="001D2C79">
      <w:pPr>
        <w:pStyle w:val="SuperHeading"/>
      </w:pPr>
      <w:r w:rsidRPr="001D2C79">
        <w:t>Assessment Requirements for AMPA2022 Singe carcase</w:t>
      </w:r>
    </w:p>
    <w:p w:rsidR="00000000" w:rsidRPr="001D2C79" w:rsidP="001D2C79">
      <w:pPr>
        <w:pStyle w:val="Heading1"/>
      </w:pPr>
      <w:bookmarkStart w:id="10" w:name="O_890037"/>
      <w:bookmarkEnd w:id="10"/>
      <w:r w:rsidRPr="001D2C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D2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79">
            <w:pPr>
              <w:pStyle w:val="TableHeading"/>
              <w:rPr>
                <w:lang w:val="en-NZ"/>
              </w:rPr>
            </w:pPr>
            <w:r w:rsidRPr="001D2C7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79">
            <w:pPr>
              <w:pStyle w:val="TableHeading"/>
              <w:rPr>
                <w:lang w:val="en-NZ"/>
              </w:rPr>
            </w:pPr>
            <w:r w:rsidRPr="001D2C7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79">
            <w:pPr>
              <w:pStyle w:val="TableHeading"/>
              <w:rPr>
                <w:lang w:val="en-NZ"/>
              </w:rPr>
            </w:pPr>
            <w:r w:rsidRPr="001D2C79">
              <w:t>Comment</w:t>
            </w:r>
          </w:p>
        </w:tc>
      </w:tr>
      <w:tr w:rsidTr="001D2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79">
            <w:pPr>
              <w:pStyle w:val="BodyText"/>
              <w:rPr>
                <w:lang w:val="en-NZ"/>
              </w:rPr>
            </w:pPr>
            <w:r w:rsidRPr="001D2C7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79">
            <w:pPr>
              <w:pStyle w:val="BodyText"/>
              <w:rPr>
                <w:lang w:val="en-NZ"/>
              </w:rPr>
            </w:pPr>
            <w:r w:rsidRPr="001D2C7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79" w:rsidP="001D2C79">
            <w:pPr>
              <w:pStyle w:val="BodyText"/>
            </w:pPr>
            <w:r w:rsidRPr="001D2C79">
              <w:t>Initial release</w:t>
            </w:r>
          </w:p>
        </w:tc>
      </w:tr>
    </w:tbl>
    <w:p w:rsidR="00000000" w:rsidRPr="001D2C79" w:rsidP="001D2C79">
      <w:pPr>
        <w:pStyle w:val="BodyText"/>
      </w:pPr>
    </w:p>
    <w:p w:rsidR="00000000" w:rsidRPr="001D2C79" w:rsidP="001D2C79">
      <w:pPr>
        <w:pStyle w:val="AllowPageBreak"/>
      </w:pPr>
    </w:p>
    <w:p w:rsidR="00000000" w:rsidRPr="001D2C79" w:rsidP="001D2C79">
      <w:pPr>
        <w:pStyle w:val="Heading1"/>
      </w:pPr>
      <w:bookmarkStart w:id="11" w:name="O_890038"/>
      <w:bookmarkEnd w:id="11"/>
      <w:r w:rsidRPr="001D2C79">
        <w:t>Performance Evidence</w:t>
      </w:r>
    </w:p>
    <w:p w:rsidR="00000000" w:rsidRPr="001D2C79" w:rsidP="00A81628">
      <w:pPr>
        <w:pStyle w:val="BodyText"/>
      </w:pPr>
      <w:r w:rsidRPr="001D2C79">
        <w:t>The candidate must singe a carcase as part of the dressing procedures on a slaughter floor.</w:t>
      </w:r>
    </w:p>
    <w:p w:rsidR="00000000" w:rsidRPr="001D2C79" w:rsidP="00A81628">
      <w:pPr>
        <w:pStyle w:val="BodyText"/>
      </w:pPr>
      <w:r w:rsidRPr="001D2C79">
        <w:t xml:space="preserve">The candidate must:  </w:t>
      </w:r>
    </w:p>
    <w:p w:rsidR="00000000" w:rsidRPr="001D2C79" w:rsidP="001D2C79">
      <w:pPr>
        <w:pStyle w:val="ListBullet"/>
      </w:pPr>
      <w:r w:rsidRPr="001D2C79">
        <w:t>singe carcase according to the company work instructions and workplace health and safety procedures</w:t>
      </w:r>
    </w:p>
    <w:p w:rsidR="00000000" w:rsidRPr="001D2C79" w:rsidP="001D2C79">
      <w:pPr>
        <w:pStyle w:val="ListBullet"/>
      </w:pPr>
      <w:r w:rsidRPr="001D2C79">
        <w:t>report problems to a supervisor promptly</w:t>
      </w:r>
    </w:p>
    <w:p w:rsidR="00000000" w:rsidRPr="001D2C79" w:rsidP="001D2C79">
      <w:pPr>
        <w:pStyle w:val="ListBullet"/>
      </w:pPr>
      <w:r w:rsidRPr="001D2C79">
        <w:t>apply relevant regulatory requirements</w:t>
      </w:r>
    </w:p>
    <w:p w:rsidR="00000000" w:rsidRPr="001D2C79" w:rsidP="001D2C79">
      <w:pPr>
        <w:pStyle w:val="ListBullet"/>
      </w:pPr>
      <w:r w:rsidRPr="001D2C79">
        <w:t>undertake start-up procedures according to work instructions</w:t>
      </w:r>
    </w:p>
    <w:p w:rsidR="00000000" w:rsidRPr="001D2C79" w:rsidP="001D2C79">
      <w:pPr>
        <w:pStyle w:val="ListBullet"/>
      </w:pPr>
      <w:r w:rsidRPr="001D2C79">
        <w:t>use communication skills relevant to the task</w:t>
      </w:r>
    </w:p>
    <w:p w:rsidR="00000000" w:rsidRPr="001D2C79" w:rsidP="001D2C79">
      <w:pPr>
        <w:pStyle w:val="AllowPageBreak"/>
      </w:pPr>
    </w:p>
    <w:p w:rsidR="00000000" w:rsidRPr="001D2C79" w:rsidP="001D2C79">
      <w:pPr>
        <w:pStyle w:val="Heading1"/>
      </w:pPr>
      <w:bookmarkStart w:id="12" w:name="O_890039"/>
      <w:bookmarkEnd w:id="12"/>
      <w:r w:rsidRPr="001D2C79">
        <w:t>Knowledge Evidence</w:t>
      </w:r>
    </w:p>
    <w:p w:rsidR="00000000" w:rsidRPr="001D2C79" w:rsidP="00A81628">
      <w:pPr>
        <w:pStyle w:val="BodyText"/>
      </w:pPr>
      <w:r w:rsidRPr="001D2C79">
        <w:t xml:space="preserve">The candidate must demonstrate a basic factual, technical and procedural </w:t>
      </w:r>
      <w:r w:rsidRPr="001D2C79">
        <w:t xml:space="preserve">knowledge of: </w:t>
      </w:r>
    </w:p>
    <w:p w:rsidR="00000000" w:rsidRPr="001D2C79" w:rsidP="001D2C79">
      <w:pPr>
        <w:pStyle w:val="ListBullet"/>
      </w:pPr>
      <w:r w:rsidRPr="001D2C79">
        <w:t>company Quality Assurance (QA) requirements for hair removal</w:t>
      </w:r>
    </w:p>
    <w:p w:rsidR="00000000" w:rsidRPr="001D2C79" w:rsidP="001D2C79">
      <w:pPr>
        <w:pStyle w:val="ListBullet"/>
      </w:pPr>
      <w:r w:rsidRPr="001D2C79">
        <w:t>company singeing work instructions</w:t>
      </w:r>
    </w:p>
    <w:p w:rsidR="00000000" w:rsidRPr="001D2C79" w:rsidP="001D2C79">
      <w:pPr>
        <w:pStyle w:val="ListBullet"/>
      </w:pPr>
      <w:r w:rsidRPr="001D2C79">
        <w:t>relevant regulatory requirements</w:t>
      </w:r>
    </w:p>
    <w:p w:rsidR="00000000" w:rsidRPr="001D2C79" w:rsidP="001D2C79">
      <w:pPr>
        <w:pStyle w:val="ListBullet"/>
      </w:pPr>
      <w:r w:rsidRPr="001D2C79">
        <w:t>workplace health and safety risks and procedures associated with singeing process</w:t>
      </w:r>
    </w:p>
    <w:p w:rsidR="00000000" w:rsidRPr="001D2C79" w:rsidP="001D2C79">
      <w:pPr>
        <w:pStyle w:val="AllowPageBreak"/>
      </w:pPr>
    </w:p>
    <w:p w:rsidR="00000000" w:rsidRPr="001D2C79" w:rsidP="001D2C79">
      <w:pPr>
        <w:pStyle w:val="Heading1"/>
      </w:pPr>
      <w:bookmarkStart w:id="13" w:name="O_890040"/>
      <w:bookmarkEnd w:id="13"/>
      <w:r w:rsidRPr="001D2C79">
        <w:t>Assessment C</w:t>
      </w:r>
      <w:r w:rsidRPr="001D2C79">
        <w:t>onditions</w:t>
      </w:r>
    </w:p>
    <w:p w:rsidR="00000000" w:rsidRPr="001D2C79" w:rsidP="00A81628">
      <w:pPr>
        <w:pStyle w:val="BodyText"/>
      </w:pPr>
      <w:r w:rsidRPr="001D2C79">
        <w:t>Competency must be assessed in the workplace under normal production conditions.</w:t>
      </w:r>
    </w:p>
    <w:p w:rsidR="00000000" w:rsidRPr="001D2C79" w:rsidP="00A81628">
      <w:pPr>
        <w:pStyle w:val="BodyText"/>
      </w:pPr>
      <w:r w:rsidRPr="001D2C79">
        <w:t>Competency must be demonstrated at the normal chain speed.</w:t>
      </w:r>
    </w:p>
    <w:p w:rsidR="00000000" w:rsidRPr="001D2C79" w:rsidP="00A81628">
      <w:pPr>
        <w:pStyle w:val="BodyText"/>
      </w:pPr>
      <w:r w:rsidRPr="001D2C79">
        <w:t>As a minimum, the following three forms of assessment must be used:</w:t>
      </w:r>
    </w:p>
    <w:p w:rsidR="00000000" w:rsidRPr="001D2C79" w:rsidP="001D2C79">
      <w:pPr>
        <w:pStyle w:val="ListBullet"/>
      </w:pPr>
      <w:r w:rsidRPr="001D2C79">
        <w:t>quiz of underpinning knowledge</w:t>
      </w:r>
    </w:p>
    <w:p w:rsidR="00000000" w:rsidRPr="001D2C79" w:rsidP="001D2C79">
      <w:pPr>
        <w:pStyle w:val="ListBullet"/>
      </w:pPr>
      <w:r w:rsidRPr="001D2C79">
        <w:t xml:space="preserve">workplace demonstration </w:t>
      </w:r>
    </w:p>
    <w:p w:rsidR="00000000" w:rsidRPr="001D2C79" w:rsidP="001D2C79">
      <w:pPr>
        <w:pStyle w:val="ListBullet"/>
      </w:pPr>
      <w:r w:rsidRPr="001D2C79">
        <w:t>workplace referee or third-party report of performance over time</w:t>
      </w:r>
    </w:p>
    <w:p w:rsidR="00000000" w:rsidRPr="001D2C79" w:rsidP="001D2C79">
      <w:pPr>
        <w:pStyle w:val="BodyText"/>
      </w:pPr>
    </w:p>
    <w:p w:rsidR="00000000" w:rsidRPr="001D2C79" w:rsidP="00A81628">
      <w:pPr>
        <w:pStyle w:val="BodyText"/>
      </w:pPr>
      <w:r w:rsidRPr="001D2C79">
        <w:t>Assessors must satisfy the current standards for RTOs.</w:t>
      </w:r>
    </w:p>
    <w:p w:rsidR="00000000" w:rsidRPr="001D2C79" w:rsidP="001D2C79">
      <w:pPr>
        <w:pStyle w:val="Heading1"/>
      </w:pPr>
      <w:bookmarkStart w:id="14" w:name="O_890043"/>
      <w:bookmarkEnd w:id="14"/>
      <w:r w:rsidRPr="001D2C79">
        <w:t>Links</w:t>
      </w:r>
    </w:p>
    <w:p w:rsidR="00000000" w:rsidRPr="001D2C79" w:rsidP="00A81628">
      <w:pPr>
        <w:pStyle w:val="BodyText"/>
      </w:pPr>
      <w:r w:rsidRPr="001D2C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B7EF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D2C79" w:rsidP="001D2C79"/>
    <w:sectPr w:rsidSect="001D2C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79" w:rsidRPr="00A81628" w:rsidP="00A816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28" w:rsidP="001D2C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628" w:rsidP="001D2C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1628" w:rsidP="001D2C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79" w:rsidP="001D2C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1628">
      <w:t>Approved</w:t>
    </w:r>
    <w:r w:rsidR="00A816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16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1628">
      <w:rPr>
        <w:noProof/>
      </w:rPr>
      <w:t>4</w:t>
    </w:r>
    <w:r>
      <w:rPr>
        <w:noProof/>
      </w:rPr>
      <w:fldChar w:fldCharType="end"/>
    </w:r>
  </w:p>
  <w:p w:rsidR="001D2C79" w:rsidP="001D2C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16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1628">
      <w:t>Skills Insight</w:t>
    </w:r>
    <w:r w:rsidR="00A81628">
      <w:fldChar w:fldCharType="end"/>
    </w:r>
  </w:p>
  <w:p w:rsidR="001D2C79" w:rsidP="001D2C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C79" w:rsidRPr="00A81628" w:rsidP="00A816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28" w:rsidRPr="002D2AF8" w:rsidP="001D2C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AMPA2022 Singe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1628" w:rsidP="001D2C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79" w:rsidRPr="002D2AF8" w:rsidP="001D2C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1628">
      <w:t>AMPA2022 Singe carcase</w:t>
    </w:r>
    <w:r w:rsidR="00A816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1628">
      <w:rPr>
        <w:noProof/>
      </w:rPr>
      <w:t>2 March 2025</w:t>
    </w:r>
    <w:r>
      <w:fldChar w:fldCharType="end"/>
    </w:r>
  </w:p>
  <w:p w:rsidR="001D2C79" w:rsidP="001D2C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EEC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9409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C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C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C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C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C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C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C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C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C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C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C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C79"/>
  </w:style>
  <w:style w:type="character" w:customStyle="1" w:styleId="Heading1Char">
    <w:name w:val="Heading 1 Char"/>
    <w:basedOn w:val="DefaultParagraphFont"/>
    <w:link w:val="Heading1"/>
    <w:rsid w:val="001D2C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C7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D2C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C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2C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2C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D2C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D2C7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D2C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C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C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C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C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C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C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C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C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C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C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C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C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C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2C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2C79"/>
    <w:rPr>
      <w:b/>
      <w:spacing w:val="0"/>
    </w:rPr>
  </w:style>
  <w:style w:type="paragraph" w:customStyle="1" w:styleId="SuperTitle">
    <w:name w:val="SuperTitle"/>
    <w:basedOn w:val="Title"/>
    <w:rsid w:val="001D2C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C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C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C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C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C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C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C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C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C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C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C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C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C79"/>
    <w:rPr>
      <w:i/>
    </w:rPr>
  </w:style>
  <w:style w:type="paragraph" w:styleId="Caption">
    <w:name w:val="caption"/>
    <w:basedOn w:val="BodyText"/>
    <w:next w:val="Normal"/>
    <w:qFormat/>
    <w:rsid w:val="001D2C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C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C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C79"/>
  </w:style>
  <w:style w:type="paragraph" w:styleId="TableofFigures">
    <w:name w:val="table of figures"/>
    <w:basedOn w:val="Normal"/>
    <w:next w:val="Normal"/>
    <w:semiHidden/>
    <w:rsid w:val="001D2C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C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2C79"/>
    <w:rPr>
      <w:rFonts w:ascii="Wingdings" w:hAnsi="Wingdings"/>
    </w:rPr>
  </w:style>
  <w:style w:type="character" w:customStyle="1" w:styleId="HotSpot">
    <w:name w:val="HotSpot"/>
    <w:rsid w:val="001D2C79"/>
    <w:rPr>
      <w:color w:val="0033CC"/>
      <w:u w:val="none"/>
    </w:rPr>
  </w:style>
  <w:style w:type="paragraph" w:customStyle="1" w:styleId="BodyTextRight">
    <w:name w:val="Body Text Right"/>
    <w:basedOn w:val="BodyText"/>
    <w:rsid w:val="001D2C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C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C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C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C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C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C79"/>
    <w:rPr>
      <w:sz w:val="32"/>
    </w:rPr>
  </w:style>
  <w:style w:type="paragraph" w:customStyle="1" w:styleId="HeadingProcedure">
    <w:name w:val="Heading Procedure"/>
    <w:basedOn w:val="HeadingBase"/>
    <w:next w:val="Normal"/>
    <w:rsid w:val="001D2C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C79"/>
    <w:pPr>
      <w:spacing w:before="60" w:after="60"/>
    </w:pPr>
  </w:style>
  <w:style w:type="paragraph" w:styleId="ListContinue">
    <w:name w:val="List Continue"/>
    <w:basedOn w:val="List"/>
    <w:rsid w:val="001D2C79"/>
    <w:pPr>
      <w:ind w:firstLine="0"/>
    </w:pPr>
  </w:style>
  <w:style w:type="paragraph" w:customStyle="1" w:styleId="ListNote">
    <w:name w:val="List Note"/>
    <w:basedOn w:val="List"/>
    <w:rsid w:val="001D2C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C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C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C79"/>
    <w:rPr>
      <w:rFonts w:ascii="Courier New" w:hAnsi="Courier New"/>
    </w:rPr>
  </w:style>
  <w:style w:type="paragraph" w:customStyle="1" w:styleId="NoteBullet">
    <w:name w:val="Note Bullet"/>
    <w:basedOn w:val="Note"/>
    <w:rsid w:val="001D2C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C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C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C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C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2C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C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C79"/>
    <w:rPr>
      <w:b/>
      <w:smallCaps/>
    </w:rPr>
  </w:style>
  <w:style w:type="paragraph" w:customStyle="1" w:styleId="TableListNumber">
    <w:name w:val="Table List Number"/>
    <w:basedOn w:val="ListNumber"/>
    <w:rsid w:val="001D2C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C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C79"/>
    <w:pPr>
      <w:numPr>
        <w:numId w:val="8"/>
      </w:numPr>
    </w:pPr>
  </w:style>
  <w:style w:type="paragraph" w:customStyle="1" w:styleId="ListAlpha2">
    <w:name w:val="List Alpha 2"/>
    <w:basedOn w:val="List2"/>
    <w:rsid w:val="001D2C79"/>
    <w:pPr>
      <w:numPr>
        <w:numId w:val="7"/>
      </w:numPr>
    </w:pPr>
  </w:style>
  <w:style w:type="paragraph" w:styleId="List2">
    <w:name w:val="List 2"/>
    <w:basedOn w:val="BodyText"/>
    <w:rsid w:val="001D2C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C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C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C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C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C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2C79"/>
    <w:pPr>
      <w:numPr>
        <w:numId w:val="3"/>
      </w:numPr>
    </w:pPr>
  </w:style>
  <w:style w:type="paragraph" w:styleId="ListContinue2">
    <w:name w:val="List Continue 2"/>
    <w:basedOn w:val="List2"/>
    <w:rsid w:val="001D2C79"/>
    <w:pPr>
      <w:ind w:firstLine="0"/>
    </w:pPr>
  </w:style>
  <w:style w:type="paragraph" w:styleId="ListContinue3">
    <w:name w:val="List Continue 3"/>
    <w:basedOn w:val="List3"/>
    <w:rsid w:val="001D2C79"/>
    <w:pPr>
      <w:ind w:left="1021" w:firstLine="0"/>
    </w:pPr>
  </w:style>
  <w:style w:type="paragraph" w:styleId="ListContinue4">
    <w:name w:val="List Continue 4"/>
    <w:basedOn w:val="List4"/>
    <w:rsid w:val="001D2C79"/>
    <w:pPr>
      <w:ind w:firstLine="0"/>
    </w:pPr>
  </w:style>
  <w:style w:type="paragraph" w:styleId="ListContinue5">
    <w:name w:val="List Continue 5"/>
    <w:basedOn w:val="List5"/>
    <w:rsid w:val="001D2C79"/>
    <w:pPr>
      <w:ind w:firstLine="0"/>
    </w:pPr>
  </w:style>
  <w:style w:type="paragraph" w:styleId="ListNumber3">
    <w:name w:val="List Number 3"/>
    <w:basedOn w:val="List3"/>
    <w:rsid w:val="001D2C79"/>
    <w:pPr>
      <w:numPr>
        <w:numId w:val="4"/>
      </w:numPr>
    </w:pPr>
  </w:style>
  <w:style w:type="paragraph" w:styleId="ListNumber4">
    <w:name w:val="List Number 4"/>
    <w:basedOn w:val="List4"/>
    <w:rsid w:val="001D2C79"/>
    <w:pPr>
      <w:numPr>
        <w:numId w:val="5"/>
      </w:numPr>
    </w:pPr>
  </w:style>
  <w:style w:type="paragraph" w:styleId="ListNumber5">
    <w:name w:val="List Number 5"/>
    <w:basedOn w:val="List5"/>
    <w:rsid w:val="001D2C79"/>
    <w:pPr>
      <w:numPr>
        <w:numId w:val="6"/>
      </w:numPr>
    </w:pPr>
  </w:style>
  <w:style w:type="paragraph" w:styleId="BlockText">
    <w:name w:val="Block Text"/>
    <w:basedOn w:val="Normal"/>
    <w:rsid w:val="001D2C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C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C79"/>
    <w:rPr>
      <w:sz w:val="16"/>
      <w:vertAlign w:val="superscript"/>
    </w:rPr>
  </w:style>
  <w:style w:type="character" w:customStyle="1" w:styleId="Symbols">
    <w:name w:val="Symbols"/>
    <w:basedOn w:val="DefaultParagraphFont"/>
    <w:rsid w:val="001D2C79"/>
    <w:rPr>
      <w:rFonts w:ascii="Symbol" w:hAnsi="Symbol"/>
    </w:rPr>
  </w:style>
  <w:style w:type="character" w:customStyle="1" w:styleId="MenuOptions">
    <w:name w:val="Menu Options"/>
    <w:basedOn w:val="DefaultParagraphFont"/>
    <w:rsid w:val="001D2C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C79"/>
    <w:rPr>
      <w:b/>
    </w:rPr>
  </w:style>
  <w:style w:type="character" w:customStyle="1" w:styleId="Underlined">
    <w:name w:val="Underlined"/>
    <w:basedOn w:val="DefaultParagraphFont"/>
    <w:rsid w:val="001D2C79"/>
    <w:rPr>
      <w:u w:val="single"/>
    </w:rPr>
  </w:style>
  <w:style w:type="paragraph" w:customStyle="1" w:styleId="TableBodyTextRight">
    <w:name w:val="Table Body Text Right"/>
    <w:basedOn w:val="TableBodyText"/>
    <w:rsid w:val="001D2C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C79"/>
    <w:rPr>
      <w:sz w:val="18"/>
    </w:rPr>
  </w:style>
  <w:style w:type="paragraph" w:customStyle="1" w:styleId="BodySmallRight">
    <w:name w:val="Body Small Right"/>
    <w:basedOn w:val="BodyTextRight"/>
    <w:rsid w:val="001D2C79"/>
    <w:rPr>
      <w:sz w:val="18"/>
      <w:szCs w:val="18"/>
    </w:rPr>
  </w:style>
  <w:style w:type="paragraph" w:customStyle="1" w:styleId="MarginEdition">
    <w:name w:val="Margin Edition"/>
    <w:basedOn w:val="MarginNote"/>
    <w:rsid w:val="001D2C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C79"/>
    <w:rPr>
      <w:sz w:val="2"/>
      <w:szCs w:val="2"/>
    </w:rPr>
  </w:style>
  <w:style w:type="character" w:customStyle="1" w:styleId="Small">
    <w:name w:val="Small"/>
    <w:basedOn w:val="DefaultParagraphFont"/>
    <w:rsid w:val="001D2C79"/>
    <w:rPr>
      <w:sz w:val="16"/>
    </w:rPr>
  </w:style>
  <w:style w:type="paragraph" w:customStyle="1" w:styleId="WideTable">
    <w:name w:val="Wide Table"/>
    <w:basedOn w:val="Normal"/>
    <w:rsid w:val="001D2C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C79"/>
  </w:style>
  <w:style w:type="paragraph" w:styleId="Quote">
    <w:name w:val="Quote"/>
    <w:basedOn w:val="Heading1"/>
    <w:link w:val="QuoteChar"/>
    <w:qFormat/>
    <w:rsid w:val="001D2C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C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C79"/>
    <w:pPr>
      <w:pageBreakBefore/>
    </w:pPr>
  </w:style>
  <w:style w:type="paragraph" w:customStyle="1" w:styleId="Border">
    <w:name w:val="Border"/>
    <w:basedOn w:val="Normal"/>
    <w:qFormat/>
    <w:rsid w:val="001D2C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C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C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C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C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C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C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C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C79"/>
    <w:rPr>
      <w:u w:val="single"/>
    </w:rPr>
  </w:style>
  <w:style w:type="character" w:customStyle="1" w:styleId="BoldandItalics">
    <w:name w:val="Bold and Italics"/>
    <w:qFormat/>
    <w:rsid w:val="001D2C79"/>
    <w:rPr>
      <w:b/>
      <w:i/>
      <w:u w:val="none"/>
    </w:rPr>
  </w:style>
  <w:style w:type="paragraph" w:styleId="BalloonText">
    <w:name w:val="Balloon Text"/>
    <w:basedOn w:val="Normal"/>
    <w:link w:val="BalloonTextChar"/>
    <w:rsid w:val="001D2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C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C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C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C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C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C79"/>
    <w:pPr>
      <w:spacing w:before="0" w:after="0"/>
    </w:pPr>
  </w:style>
  <w:style w:type="paragraph" w:customStyle="1" w:styleId="BodyTextBold">
    <w:name w:val="Body Text Bold"/>
    <w:basedOn w:val="BodyText"/>
    <w:qFormat/>
    <w:rsid w:val="001D2C79"/>
    <w:rPr>
      <w:b/>
    </w:rPr>
  </w:style>
  <w:style w:type="character" w:styleId="Hyperlink">
    <w:name w:val="Hyperlink"/>
    <w:basedOn w:val="DefaultParagraphFont"/>
    <w:uiPriority w:val="99"/>
    <w:unhideWhenUsed/>
    <w:rsid w:val="00A816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3140</Characters>
  <Application>Microsoft Office Word</Application>
  <DocSecurity>0</DocSecurity>
  <Lines>120</Lines>
  <Paragraphs>86</Paragraphs>
  <ScaleCrop>false</ScaleCrop>
  <Company>Author-it Software Corporation Ltd.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AMPA2022 Singe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2025-03-01T22:49:00Z</dcterms:created>
  <dcterms:modified xsi:type="dcterms:W3CDTF">2025-03-01T22:49:00Z</dcterms:modified>
</cp:coreProperties>
</file>