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819" w:rsidP="00EC7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AMPA2015 Number carcase and head</w:t>
      </w:r>
      <w:r>
        <w:fldChar w:fldCharType="end"/>
      </w:r>
    </w:p>
    <w:p w:rsidR="00EC7819" w:rsidP="00EC7819">
      <w:pPr>
        <w:pStyle w:val="Version"/>
        <w:sectPr w:rsidSect="00A61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A4D" w:rsidP="00A61A4D">
      <w:pPr>
        <w:pStyle w:val="SuperHeading"/>
      </w:pPr>
      <w:r w:rsidRPr="00A61A4D">
        <w:t>AMPA2015 Number carcase and head</w:t>
      </w:r>
    </w:p>
    <w:p w:rsidR="00000000" w:rsidRPr="00A61A4D" w:rsidP="00A61A4D">
      <w:pPr>
        <w:pStyle w:val="Heading1"/>
      </w:pPr>
      <w:bookmarkStart w:id="1" w:name="O_889033"/>
      <w:bookmarkEnd w:id="1"/>
      <w:r w:rsidRPr="00A61A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1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TableHeading"/>
              <w:rPr>
                <w:lang w:val="en-NZ"/>
              </w:rPr>
            </w:pPr>
            <w:r w:rsidRPr="00A61A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TableHeading"/>
              <w:rPr>
                <w:lang w:val="en-NZ"/>
              </w:rPr>
            </w:pPr>
            <w:r w:rsidRPr="00A61A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TableHeading"/>
              <w:rPr>
                <w:lang w:val="en-NZ"/>
              </w:rPr>
            </w:pPr>
            <w:r w:rsidRPr="00A61A4D">
              <w:t>Comment</w:t>
            </w:r>
          </w:p>
        </w:tc>
      </w:tr>
      <w:tr w:rsidTr="00A61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BodyText"/>
              <w:rPr>
                <w:lang w:val="en-NZ"/>
              </w:rPr>
            </w:pPr>
            <w:r w:rsidRPr="00A61A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BodyText"/>
              <w:rPr>
                <w:lang w:val="en-NZ"/>
              </w:rPr>
            </w:pPr>
            <w:r w:rsidRPr="00A61A4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4D" w:rsidP="00A61A4D">
            <w:pPr>
              <w:pStyle w:val="BodyText"/>
            </w:pPr>
            <w:r w:rsidRPr="00A61A4D">
              <w:t>Initial release</w:t>
            </w:r>
          </w:p>
        </w:tc>
      </w:tr>
    </w:tbl>
    <w:p w:rsidR="00000000" w:rsidRPr="00A61A4D" w:rsidP="00A61A4D">
      <w:pPr>
        <w:pStyle w:val="BodyText"/>
      </w:pPr>
    </w:p>
    <w:p w:rsidR="00000000" w:rsidRPr="00A61A4D" w:rsidP="00A61A4D">
      <w:pPr>
        <w:pStyle w:val="AllowPageBreak"/>
      </w:pPr>
    </w:p>
    <w:p w:rsidR="00000000" w:rsidRPr="00A61A4D" w:rsidP="00A61A4D">
      <w:pPr>
        <w:pStyle w:val="Heading1"/>
      </w:pPr>
      <w:bookmarkStart w:id="2" w:name="O_889034"/>
      <w:bookmarkEnd w:id="2"/>
      <w:r w:rsidRPr="00A61A4D">
        <w:t>Application</w:t>
      </w:r>
    </w:p>
    <w:p w:rsidR="00000000" w:rsidRPr="00A61A4D" w:rsidP="00EC7819">
      <w:pPr>
        <w:pStyle w:val="BodyText"/>
      </w:pPr>
      <w:r w:rsidRPr="00A61A4D">
        <w:t>This unit describes the skills and knowledge required to number carcases, heads and where applicable hides and viscera to allow correlation for inspection and Quality Assurance (QA) processes.</w:t>
      </w:r>
    </w:p>
    <w:p w:rsidR="00000000" w:rsidRPr="00A61A4D" w:rsidP="00EC7819">
      <w:pPr>
        <w:pStyle w:val="BodyText"/>
      </w:pPr>
      <w:r w:rsidRPr="00A61A4D">
        <w:t>This unit is applicable to workers on the slaughter floor.</w:t>
      </w:r>
    </w:p>
    <w:p w:rsidR="00000000" w:rsidRPr="00A61A4D" w:rsidP="00EC7819">
      <w:pPr>
        <w:pStyle w:val="BodyText"/>
      </w:pPr>
      <w:r w:rsidRPr="00A61A4D">
        <w:t>Al</w:t>
      </w:r>
      <w:r w:rsidRPr="00A61A4D">
        <w:t xml:space="preserve">l work should be carried out to comply with workplace and hygiene requirements. </w:t>
      </w:r>
    </w:p>
    <w:p w:rsidR="00000000" w:rsidRPr="00A61A4D" w:rsidP="00EC7819">
      <w:pPr>
        <w:pStyle w:val="BodyText"/>
      </w:pPr>
      <w:r w:rsidRPr="00A61A4D">
        <w:t>This unit applies to individuals who work under general supervision, exercise limited autonomy and have some accountability for their own work.</w:t>
      </w:r>
    </w:p>
    <w:p w:rsidR="00000000" w:rsidRPr="00A61A4D" w:rsidP="00EC7819">
      <w:pPr>
        <w:pStyle w:val="BodyText"/>
      </w:pPr>
      <w:r w:rsidRPr="00A61A4D">
        <w:t>No occupational licensing, le</w:t>
      </w:r>
      <w:r w:rsidRPr="00A61A4D">
        <w:t>gislative or certification requirements are known to apply to this unit at the time of publication.</w:t>
      </w:r>
    </w:p>
    <w:p w:rsidR="00000000" w:rsidRPr="00A61A4D" w:rsidP="00EC7819">
      <w:pPr>
        <w:pStyle w:val="BodyText"/>
      </w:pPr>
      <w:r w:rsidRPr="00A61A4D">
        <w:t>This unit must be delivered and assessed in the context of Australian meat processing standards and regulations.</w:t>
      </w:r>
    </w:p>
    <w:p w:rsidR="00000000" w:rsidRPr="00A61A4D" w:rsidP="00A61A4D">
      <w:pPr>
        <w:pStyle w:val="Heading1"/>
      </w:pPr>
      <w:bookmarkStart w:id="3" w:name="O_889035"/>
      <w:bookmarkEnd w:id="3"/>
      <w:r w:rsidRPr="00A61A4D">
        <w:t>Pre-requisite Unit</w:t>
      </w:r>
    </w:p>
    <w:p w:rsidR="00000000" w:rsidRPr="00A61A4D" w:rsidP="00EC7819">
      <w:pPr>
        <w:pStyle w:val="BodyText"/>
      </w:pPr>
      <w:r w:rsidRPr="00A61A4D">
        <w:t>Nil.</w:t>
      </w:r>
    </w:p>
    <w:p w:rsidR="00000000" w:rsidRPr="00A61A4D" w:rsidP="00A61A4D">
      <w:pPr>
        <w:pStyle w:val="Heading1"/>
      </w:pPr>
      <w:bookmarkStart w:id="4" w:name="O_889037"/>
      <w:bookmarkEnd w:id="4"/>
      <w:r w:rsidRPr="00A61A4D">
        <w:t>Unit Sector</w:t>
      </w:r>
    </w:p>
    <w:p w:rsidR="00000000" w:rsidRPr="00A61A4D" w:rsidP="00A61A4D">
      <w:pPr>
        <w:pStyle w:val="Heading1"/>
      </w:pPr>
      <w:bookmarkStart w:id="5" w:name="O_889038"/>
      <w:bookmarkEnd w:id="5"/>
      <w:r w:rsidRPr="00A61A4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C781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Heading4"/>
              <w:rPr>
                <w:lang w:val="en-NZ"/>
              </w:rPr>
            </w:pPr>
            <w:r w:rsidRPr="00A61A4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Heading4"/>
              <w:rPr>
                <w:lang w:val="en-NZ"/>
              </w:rPr>
            </w:pPr>
            <w:r w:rsidRPr="00A61A4D">
              <w:t>Performance criteria</w:t>
            </w:r>
          </w:p>
        </w:tc>
      </w:tr>
      <w:tr w:rsidTr="00EC781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BodyText"/>
              <w:rPr>
                <w:lang w:val="en-NZ"/>
              </w:rPr>
            </w:pPr>
            <w:r w:rsidRPr="00A61A4D">
              <w:t xml:space="preserve">Elements describe the </w:t>
            </w:r>
            <w:r w:rsidRPr="00A61A4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BodyText"/>
              <w:rPr>
                <w:lang w:val="en-NZ"/>
              </w:rPr>
            </w:pPr>
            <w:r w:rsidRPr="00A61A4D">
              <w:t xml:space="preserve">Performance criteria describe the performance needed to </w:t>
            </w:r>
            <w:r w:rsidRPr="00A61A4D">
              <w:t>demonstrate achievement of the element.</w:t>
            </w:r>
          </w:p>
        </w:tc>
      </w:tr>
      <w:tr w:rsidTr="00EC781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List"/>
              <w:rPr>
                <w:lang w:val="en-NZ"/>
              </w:rPr>
            </w:pPr>
            <w:r w:rsidRPr="00A61A4D">
              <w:t>1.</w:t>
            </w:r>
            <w:r w:rsidRPr="00A61A4D">
              <w:tab/>
            </w:r>
            <w:r w:rsidRPr="00A61A4D">
              <w:t>Correlate heads and carcases by numbering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4D" w:rsidP="00A61A4D">
            <w:pPr>
              <w:pStyle w:val="List"/>
            </w:pPr>
            <w:r w:rsidRPr="00A61A4D">
              <w:t>1.1</w:t>
            </w:r>
            <w:r w:rsidRPr="00A61A4D">
              <w:tab/>
              <w:t>Correlate heads, carcases and where applicable hides and viscera by numbering in accordance with workplace and regulatory requirements</w:t>
            </w:r>
          </w:p>
          <w:p w:rsidR="00000000" w:rsidRPr="00A61A4D" w:rsidP="00A61A4D">
            <w:pPr>
              <w:pStyle w:val="List"/>
            </w:pPr>
            <w:r w:rsidRPr="00A61A4D">
              <w:t>1.2</w:t>
            </w:r>
            <w:r w:rsidRPr="00A61A4D">
              <w:tab/>
              <w:t>Number heads and carcases according to workplace health and safety requ</w:t>
            </w:r>
            <w:r w:rsidRPr="00A61A4D">
              <w:t>irements</w:t>
            </w:r>
          </w:p>
          <w:p w:rsidR="00000000" w:rsidRPr="00A61A4D" w:rsidP="00A61A4D">
            <w:pPr>
              <w:pStyle w:val="List"/>
            </w:pPr>
            <w:r w:rsidRPr="00A61A4D">
              <w:t>1.3</w:t>
            </w:r>
            <w:r w:rsidRPr="00A61A4D">
              <w:tab/>
              <w:t>Identify and manage potential sources of contamination according to workplace requirements</w:t>
            </w:r>
          </w:p>
          <w:p w:rsidR="00000000" w:rsidRPr="00A61A4D" w:rsidP="00A61A4D">
            <w:pPr>
              <w:pStyle w:val="List"/>
            </w:pPr>
            <w:r w:rsidRPr="00A61A4D">
              <w:t>1.4</w:t>
            </w:r>
            <w:r w:rsidRPr="00A61A4D">
              <w:tab/>
              <w:t>Number hides where part of the task</w:t>
            </w:r>
          </w:p>
        </w:tc>
      </w:tr>
    </w:tbl>
    <w:p w:rsidR="00000000" w:rsidRPr="00A61A4D" w:rsidP="00A61A4D">
      <w:pPr>
        <w:pStyle w:val="BodyText"/>
      </w:pPr>
    </w:p>
    <w:p w:rsidR="00000000" w:rsidRPr="00A61A4D" w:rsidP="00A61A4D">
      <w:pPr>
        <w:pStyle w:val="AllowPageBreak"/>
      </w:pPr>
    </w:p>
    <w:p w:rsidR="00000000" w:rsidRPr="00A61A4D" w:rsidP="00A61A4D">
      <w:pPr>
        <w:pStyle w:val="Heading1"/>
      </w:pPr>
      <w:bookmarkStart w:id="6" w:name="O_889039"/>
      <w:bookmarkEnd w:id="6"/>
      <w:r w:rsidRPr="00A61A4D">
        <w:t>Foundation Skills</w:t>
      </w:r>
    </w:p>
    <w:p w:rsidR="00000000" w:rsidRPr="00A61A4D" w:rsidP="00EC7819">
      <w:pPr>
        <w:pStyle w:val="BodyText"/>
      </w:pPr>
      <w:r w:rsidRPr="00A61A4D">
        <w:t>Foundation Skills essential to performance are explicit in the performance criteria of this unit of competency.</w:t>
      </w:r>
    </w:p>
    <w:p w:rsidR="00000000" w:rsidRPr="00A61A4D" w:rsidP="00A61A4D">
      <w:pPr>
        <w:pStyle w:val="Heading1"/>
      </w:pPr>
      <w:bookmarkStart w:id="7" w:name="O_889040"/>
      <w:bookmarkEnd w:id="7"/>
      <w:r w:rsidRPr="00A61A4D">
        <w:t>Range of Conditions</w:t>
      </w:r>
    </w:p>
    <w:p w:rsidR="00000000" w:rsidRPr="00A61A4D" w:rsidP="00A61A4D">
      <w:pPr>
        <w:pStyle w:val="Heading1"/>
      </w:pPr>
      <w:bookmarkStart w:id="8" w:name="O_889041"/>
      <w:bookmarkEnd w:id="8"/>
      <w:r w:rsidRPr="00A61A4D">
        <w:t>Unit Mapping Information</w:t>
      </w:r>
    </w:p>
    <w:p w:rsidR="00000000" w:rsidRPr="00A61A4D" w:rsidP="00EC7819">
      <w:pPr>
        <w:pStyle w:val="BodyText"/>
      </w:pPr>
      <w:r w:rsidRPr="00A61A4D">
        <w:t>This unit is equivalent to MTMP2021C Number carcase and head.</w:t>
      </w:r>
    </w:p>
    <w:p w:rsidR="00000000" w:rsidRPr="00A61A4D" w:rsidP="00A61A4D">
      <w:pPr>
        <w:pStyle w:val="Heading1"/>
      </w:pPr>
      <w:bookmarkStart w:id="9" w:name="O_889048"/>
      <w:bookmarkEnd w:id="9"/>
      <w:r w:rsidRPr="00A61A4D">
        <w:t>Links</w:t>
      </w:r>
    </w:p>
    <w:p w:rsidR="00000000" w:rsidRPr="00A61A4D" w:rsidP="00EC7819">
      <w:pPr>
        <w:pStyle w:val="BodyText"/>
      </w:pPr>
      <w:r w:rsidRPr="00A61A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B18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1A4D" w:rsidP="00EC7819">
      <w:pPr>
        <w:pStyle w:val="BodyText"/>
        <w:sectPr w:rsidSect="00A61A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1A4D" w:rsidP="00A61A4D">
      <w:pPr>
        <w:pStyle w:val="SuperHeading"/>
      </w:pPr>
      <w:r w:rsidRPr="00A61A4D">
        <w:t xml:space="preserve">Assessment Requirements for AMPA2015 Number </w:t>
      </w:r>
      <w:r w:rsidRPr="00A61A4D">
        <w:t>carcase and head</w:t>
      </w:r>
    </w:p>
    <w:p w:rsidR="00000000" w:rsidRPr="00A61A4D" w:rsidP="00A61A4D">
      <w:pPr>
        <w:pStyle w:val="Heading1"/>
      </w:pPr>
      <w:bookmarkStart w:id="10" w:name="O_889043"/>
      <w:bookmarkEnd w:id="10"/>
      <w:r w:rsidRPr="00A61A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1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TableHeading"/>
              <w:rPr>
                <w:lang w:val="en-NZ"/>
              </w:rPr>
            </w:pPr>
            <w:r w:rsidRPr="00A61A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TableHeading"/>
              <w:rPr>
                <w:lang w:val="en-NZ"/>
              </w:rPr>
            </w:pPr>
            <w:r w:rsidRPr="00A61A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TableHeading"/>
              <w:rPr>
                <w:lang w:val="en-NZ"/>
              </w:rPr>
            </w:pPr>
            <w:r w:rsidRPr="00A61A4D">
              <w:t>Comment</w:t>
            </w:r>
          </w:p>
        </w:tc>
      </w:tr>
      <w:tr w:rsidTr="00A61A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BodyText"/>
              <w:rPr>
                <w:lang w:val="en-NZ"/>
              </w:rPr>
            </w:pPr>
            <w:r w:rsidRPr="00A61A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A4D">
            <w:pPr>
              <w:pStyle w:val="BodyText"/>
              <w:rPr>
                <w:lang w:val="en-NZ"/>
              </w:rPr>
            </w:pPr>
            <w:r w:rsidRPr="00A61A4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A4D" w:rsidP="00A61A4D">
            <w:pPr>
              <w:pStyle w:val="BodyText"/>
            </w:pPr>
            <w:r w:rsidRPr="00A61A4D">
              <w:t>Initial release</w:t>
            </w:r>
          </w:p>
        </w:tc>
      </w:tr>
    </w:tbl>
    <w:p w:rsidR="00000000" w:rsidRPr="00A61A4D" w:rsidP="00A61A4D">
      <w:pPr>
        <w:pStyle w:val="BodyText"/>
      </w:pPr>
    </w:p>
    <w:p w:rsidR="00000000" w:rsidRPr="00A61A4D" w:rsidP="00A61A4D">
      <w:pPr>
        <w:pStyle w:val="AllowPageBreak"/>
      </w:pPr>
    </w:p>
    <w:p w:rsidR="00000000" w:rsidRPr="00A61A4D" w:rsidP="00A61A4D">
      <w:pPr>
        <w:pStyle w:val="Heading1"/>
      </w:pPr>
      <w:bookmarkStart w:id="11" w:name="O_889044"/>
      <w:bookmarkEnd w:id="11"/>
      <w:r w:rsidRPr="00A61A4D">
        <w:t>Performance Evidence</w:t>
      </w:r>
    </w:p>
    <w:p w:rsidR="00000000" w:rsidRPr="00A61A4D" w:rsidP="00EC7819">
      <w:pPr>
        <w:pStyle w:val="BodyText"/>
      </w:pPr>
      <w:r w:rsidRPr="00A61A4D">
        <w:t>The candidate must number carcases and heads to allow correlation for inspection and Quality Assurance (QA) processes.</w:t>
      </w:r>
    </w:p>
    <w:p w:rsidR="00000000" w:rsidRPr="00A61A4D" w:rsidP="00EC7819">
      <w:pPr>
        <w:pStyle w:val="BodyText"/>
      </w:pPr>
      <w:r w:rsidRPr="00A61A4D">
        <w:t>The candidate must:</w:t>
      </w:r>
    </w:p>
    <w:p w:rsidR="00000000" w:rsidRPr="00A61A4D" w:rsidP="00A61A4D">
      <w:pPr>
        <w:pStyle w:val="ListBullet"/>
      </w:pPr>
      <w:r w:rsidRPr="00A61A4D">
        <w:t>number heads and carcases in accordance with work instructions</w:t>
      </w:r>
    </w:p>
    <w:p w:rsidR="00000000" w:rsidRPr="00A61A4D" w:rsidP="00A61A4D">
      <w:pPr>
        <w:pStyle w:val="ListBullet"/>
      </w:pPr>
      <w:r w:rsidRPr="00A61A4D">
        <w:t>apply mathematical operations to a level required for accurate numbering</w:t>
      </w:r>
    </w:p>
    <w:p w:rsidR="00000000" w:rsidRPr="00A61A4D" w:rsidP="00A61A4D">
      <w:pPr>
        <w:pStyle w:val="AllowPageBreak"/>
      </w:pPr>
    </w:p>
    <w:p w:rsidR="00000000" w:rsidRPr="00A61A4D" w:rsidP="00A61A4D">
      <w:pPr>
        <w:pStyle w:val="Heading1"/>
      </w:pPr>
      <w:bookmarkStart w:id="12" w:name="O_889045"/>
      <w:bookmarkEnd w:id="12"/>
      <w:r w:rsidRPr="00A61A4D">
        <w:t>Knowledge Evidence</w:t>
      </w:r>
    </w:p>
    <w:p w:rsidR="00000000" w:rsidRPr="00A61A4D" w:rsidP="00EC7819">
      <w:pPr>
        <w:pStyle w:val="BodyText"/>
      </w:pPr>
      <w:r w:rsidRPr="00A61A4D">
        <w:t xml:space="preserve">The candidate must demonstrate a basic factual, technical and procedural knowledge of: </w:t>
      </w:r>
    </w:p>
    <w:p w:rsidR="00000000" w:rsidRPr="00A61A4D" w:rsidP="00A61A4D">
      <w:pPr>
        <w:pStyle w:val="ListBullet"/>
      </w:pPr>
      <w:r w:rsidRPr="00A61A4D">
        <w:t>hygiene practices for minimising contamination</w:t>
      </w:r>
    </w:p>
    <w:p w:rsidR="00000000" w:rsidRPr="00A61A4D" w:rsidP="00A61A4D">
      <w:pPr>
        <w:pStyle w:val="ListBullet"/>
      </w:pPr>
      <w:r w:rsidRPr="00A61A4D">
        <w:t>the reasons</w:t>
      </w:r>
      <w:r w:rsidRPr="00A61A4D">
        <w:t xml:space="preserve"> for correlating heads and carcases</w:t>
      </w:r>
    </w:p>
    <w:p w:rsidR="00000000" w:rsidRPr="00A61A4D" w:rsidP="00A61A4D">
      <w:pPr>
        <w:pStyle w:val="ListBullet"/>
      </w:pPr>
      <w:r w:rsidRPr="00A61A4D">
        <w:t>the consequences of incorrect correlation of heads and carcases</w:t>
      </w:r>
    </w:p>
    <w:p w:rsidR="00000000" w:rsidRPr="00A61A4D" w:rsidP="00A61A4D">
      <w:pPr>
        <w:pStyle w:val="ListBullet"/>
      </w:pPr>
      <w:r w:rsidRPr="00A61A4D">
        <w:t>the work instruction for numbering carcases and heads</w:t>
      </w:r>
    </w:p>
    <w:p w:rsidR="00000000" w:rsidRPr="00A61A4D" w:rsidP="00A61A4D">
      <w:pPr>
        <w:pStyle w:val="ListBullet"/>
      </w:pPr>
      <w:r w:rsidRPr="00A61A4D">
        <w:t>potential sources of contamination and cross-contamination</w:t>
      </w:r>
    </w:p>
    <w:p w:rsidR="00000000" w:rsidRPr="00A61A4D" w:rsidP="00A61A4D">
      <w:pPr>
        <w:pStyle w:val="AllowPageBreak"/>
      </w:pPr>
    </w:p>
    <w:p w:rsidR="00000000" w:rsidRPr="00A61A4D" w:rsidP="00A61A4D">
      <w:pPr>
        <w:pStyle w:val="Heading1"/>
      </w:pPr>
      <w:bookmarkStart w:id="13" w:name="O_889046"/>
      <w:bookmarkEnd w:id="13"/>
      <w:r w:rsidRPr="00A61A4D">
        <w:t>Assessment Conditions</w:t>
      </w:r>
    </w:p>
    <w:p w:rsidR="00000000" w:rsidRPr="00A61A4D" w:rsidP="00EC7819">
      <w:pPr>
        <w:pStyle w:val="BodyText"/>
      </w:pPr>
      <w:r w:rsidRPr="00A61A4D">
        <w:t>Asse</w:t>
      </w:r>
      <w:r w:rsidRPr="00A61A4D">
        <w:t>ssment must occur in the workplace under normal production conditions.</w:t>
      </w:r>
    </w:p>
    <w:p w:rsidR="00000000" w:rsidRPr="00A61A4D" w:rsidP="00EC7819">
      <w:pPr>
        <w:pStyle w:val="BodyText"/>
      </w:pPr>
      <w:r w:rsidRPr="00A61A4D">
        <w:t>Competency must be demonstrated at normal chain speed.</w:t>
      </w:r>
    </w:p>
    <w:p w:rsidR="00000000" w:rsidRPr="00A61A4D" w:rsidP="00EC7819">
      <w:pPr>
        <w:pStyle w:val="BodyText"/>
      </w:pPr>
      <w:r w:rsidRPr="00A61A4D">
        <w:t xml:space="preserve">As a minimum, the following three forms of assessment must be used: </w:t>
      </w:r>
    </w:p>
    <w:p w:rsidR="00000000" w:rsidRPr="00A61A4D" w:rsidP="00A61A4D">
      <w:pPr>
        <w:pStyle w:val="ListBullet"/>
      </w:pPr>
      <w:r w:rsidRPr="00A61A4D">
        <w:t>quiz of underpinning knowledge</w:t>
      </w:r>
    </w:p>
    <w:p w:rsidR="00000000" w:rsidRPr="00A61A4D" w:rsidP="00A61A4D">
      <w:pPr>
        <w:pStyle w:val="ListBullet"/>
      </w:pPr>
      <w:r w:rsidRPr="00A61A4D">
        <w:t xml:space="preserve">workplace demonstration </w:t>
      </w:r>
    </w:p>
    <w:p w:rsidR="00000000" w:rsidRPr="00A61A4D" w:rsidP="00A61A4D">
      <w:pPr>
        <w:pStyle w:val="ListBullet"/>
      </w:pPr>
      <w:r w:rsidRPr="00A61A4D">
        <w:t>workplace referee or third-party report of performance over time</w:t>
      </w:r>
    </w:p>
    <w:p w:rsidR="00000000" w:rsidRPr="00A61A4D" w:rsidP="00A61A4D">
      <w:pPr>
        <w:pStyle w:val="BodyText"/>
      </w:pPr>
    </w:p>
    <w:p w:rsidR="00000000" w:rsidRPr="00A61A4D" w:rsidP="00EC7819">
      <w:pPr>
        <w:pStyle w:val="BodyText"/>
      </w:pPr>
      <w:r w:rsidRPr="00A61A4D">
        <w:t>Assessors must satisfy the current standards for RTOs.</w:t>
      </w:r>
    </w:p>
    <w:p w:rsidR="00000000" w:rsidRPr="00A61A4D" w:rsidP="00A61A4D">
      <w:pPr>
        <w:pStyle w:val="Heading1"/>
      </w:pPr>
      <w:bookmarkStart w:id="14" w:name="O_889049"/>
      <w:bookmarkEnd w:id="14"/>
      <w:r w:rsidRPr="00A61A4D">
        <w:t>Links</w:t>
      </w:r>
    </w:p>
    <w:p w:rsidR="00000000" w:rsidRPr="00A61A4D" w:rsidP="00EC7819">
      <w:pPr>
        <w:pStyle w:val="BodyText"/>
      </w:pPr>
      <w:r w:rsidRPr="00A61A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B18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1A4D" w:rsidP="00A61A4D"/>
    <w:sectPr w:rsidSect="00A61A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4D" w:rsidRPr="00EC7819" w:rsidP="00EC7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819" w:rsidP="00A61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819" w:rsidP="00A61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7819" w:rsidP="00A61A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4D" w:rsidP="00A61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7819">
      <w:t>Approved</w:t>
    </w:r>
    <w:r w:rsidR="00EC78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78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7819">
      <w:rPr>
        <w:noProof/>
      </w:rPr>
      <w:t>4</w:t>
    </w:r>
    <w:r>
      <w:rPr>
        <w:noProof/>
      </w:rPr>
      <w:fldChar w:fldCharType="end"/>
    </w:r>
  </w:p>
  <w:p w:rsidR="00A61A4D" w:rsidP="00A61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78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7819">
      <w:t>Skills Insight</w:t>
    </w:r>
    <w:r w:rsidR="00EC7819">
      <w:fldChar w:fldCharType="end"/>
    </w:r>
  </w:p>
  <w:p w:rsidR="00A61A4D" w:rsidP="00A61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A4D" w:rsidRPr="00EC7819" w:rsidP="00EC7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819" w:rsidRPr="002D2AF8" w:rsidP="00A61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AMPA2015 Number carcase and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7819" w:rsidP="00A61A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4D" w:rsidRPr="002D2AF8" w:rsidP="00A61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7819">
      <w:t>AMPA2015 Number carcase and head</w:t>
    </w:r>
    <w:r w:rsidR="00EC78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7819">
      <w:rPr>
        <w:noProof/>
      </w:rPr>
      <w:t>2 March 2025</w:t>
    </w:r>
    <w:r>
      <w:fldChar w:fldCharType="end"/>
    </w:r>
  </w:p>
  <w:p w:rsidR="00A61A4D" w:rsidP="00A61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1A3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46E4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A4D"/>
  </w:style>
  <w:style w:type="character" w:customStyle="1" w:styleId="Heading1Char">
    <w:name w:val="Heading 1 Char"/>
    <w:basedOn w:val="DefaultParagraphFont"/>
    <w:link w:val="Heading1"/>
    <w:rsid w:val="00A61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A4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61A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A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1A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1A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1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1A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1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A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1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A4D"/>
    <w:rPr>
      <w:b/>
      <w:spacing w:val="0"/>
    </w:rPr>
  </w:style>
  <w:style w:type="paragraph" w:customStyle="1" w:styleId="SuperTitle">
    <w:name w:val="SuperTitle"/>
    <w:basedOn w:val="Title"/>
    <w:rsid w:val="00A61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A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A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A4D"/>
    <w:rPr>
      <w:i/>
    </w:rPr>
  </w:style>
  <w:style w:type="paragraph" w:styleId="Caption">
    <w:name w:val="caption"/>
    <w:basedOn w:val="BodyText"/>
    <w:next w:val="Normal"/>
    <w:qFormat/>
    <w:rsid w:val="00A61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A4D"/>
  </w:style>
  <w:style w:type="paragraph" w:styleId="TableofFigures">
    <w:name w:val="table of figures"/>
    <w:basedOn w:val="Normal"/>
    <w:next w:val="Normal"/>
    <w:semiHidden/>
    <w:rsid w:val="00A61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A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A4D"/>
    <w:rPr>
      <w:rFonts w:ascii="Wingdings" w:hAnsi="Wingdings"/>
    </w:rPr>
  </w:style>
  <w:style w:type="character" w:customStyle="1" w:styleId="HotSpot">
    <w:name w:val="HotSpot"/>
    <w:rsid w:val="00A61A4D"/>
    <w:rPr>
      <w:color w:val="0033CC"/>
      <w:u w:val="none"/>
    </w:rPr>
  </w:style>
  <w:style w:type="paragraph" w:customStyle="1" w:styleId="BodyTextRight">
    <w:name w:val="Body Text Right"/>
    <w:basedOn w:val="BodyText"/>
    <w:rsid w:val="00A61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A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A4D"/>
    <w:rPr>
      <w:sz w:val="32"/>
    </w:rPr>
  </w:style>
  <w:style w:type="paragraph" w:customStyle="1" w:styleId="HeadingProcedure">
    <w:name w:val="Heading Procedure"/>
    <w:basedOn w:val="HeadingBase"/>
    <w:next w:val="Normal"/>
    <w:rsid w:val="00A61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A4D"/>
    <w:pPr>
      <w:spacing w:before="60" w:after="60"/>
    </w:pPr>
  </w:style>
  <w:style w:type="paragraph" w:styleId="ListContinue">
    <w:name w:val="List Continue"/>
    <w:basedOn w:val="List"/>
    <w:rsid w:val="00A61A4D"/>
    <w:pPr>
      <w:ind w:firstLine="0"/>
    </w:pPr>
  </w:style>
  <w:style w:type="paragraph" w:customStyle="1" w:styleId="ListNote">
    <w:name w:val="List Note"/>
    <w:basedOn w:val="List"/>
    <w:rsid w:val="00A61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A4D"/>
    <w:rPr>
      <w:rFonts w:ascii="Courier New" w:hAnsi="Courier New"/>
    </w:rPr>
  </w:style>
  <w:style w:type="paragraph" w:customStyle="1" w:styleId="NoteBullet">
    <w:name w:val="Note Bullet"/>
    <w:basedOn w:val="Note"/>
    <w:rsid w:val="00A61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A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A4D"/>
    <w:rPr>
      <w:b/>
      <w:smallCaps/>
    </w:rPr>
  </w:style>
  <w:style w:type="paragraph" w:customStyle="1" w:styleId="TableListNumber">
    <w:name w:val="Table List Number"/>
    <w:basedOn w:val="ListNumber"/>
    <w:rsid w:val="00A61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A4D"/>
    <w:pPr>
      <w:numPr>
        <w:numId w:val="8"/>
      </w:numPr>
    </w:pPr>
  </w:style>
  <w:style w:type="paragraph" w:customStyle="1" w:styleId="ListAlpha2">
    <w:name w:val="List Alpha 2"/>
    <w:basedOn w:val="List2"/>
    <w:rsid w:val="00A61A4D"/>
    <w:pPr>
      <w:numPr>
        <w:numId w:val="7"/>
      </w:numPr>
    </w:pPr>
  </w:style>
  <w:style w:type="paragraph" w:styleId="List2">
    <w:name w:val="List 2"/>
    <w:basedOn w:val="BodyText"/>
    <w:rsid w:val="00A61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A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A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A4D"/>
    <w:pPr>
      <w:numPr>
        <w:numId w:val="3"/>
      </w:numPr>
    </w:pPr>
  </w:style>
  <w:style w:type="paragraph" w:styleId="ListContinue2">
    <w:name w:val="List Continue 2"/>
    <w:basedOn w:val="List2"/>
    <w:rsid w:val="00A61A4D"/>
    <w:pPr>
      <w:ind w:firstLine="0"/>
    </w:pPr>
  </w:style>
  <w:style w:type="paragraph" w:styleId="ListContinue3">
    <w:name w:val="List Continue 3"/>
    <w:basedOn w:val="List3"/>
    <w:rsid w:val="00A61A4D"/>
    <w:pPr>
      <w:ind w:left="1021" w:firstLine="0"/>
    </w:pPr>
  </w:style>
  <w:style w:type="paragraph" w:styleId="ListContinue4">
    <w:name w:val="List Continue 4"/>
    <w:basedOn w:val="List4"/>
    <w:rsid w:val="00A61A4D"/>
    <w:pPr>
      <w:ind w:firstLine="0"/>
    </w:pPr>
  </w:style>
  <w:style w:type="paragraph" w:styleId="ListContinue5">
    <w:name w:val="List Continue 5"/>
    <w:basedOn w:val="List5"/>
    <w:rsid w:val="00A61A4D"/>
    <w:pPr>
      <w:ind w:firstLine="0"/>
    </w:pPr>
  </w:style>
  <w:style w:type="paragraph" w:styleId="ListNumber3">
    <w:name w:val="List Number 3"/>
    <w:basedOn w:val="List3"/>
    <w:rsid w:val="00A61A4D"/>
    <w:pPr>
      <w:numPr>
        <w:numId w:val="4"/>
      </w:numPr>
    </w:pPr>
  </w:style>
  <w:style w:type="paragraph" w:styleId="ListNumber4">
    <w:name w:val="List Number 4"/>
    <w:basedOn w:val="List4"/>
    <w:rsid w:val="00A61A4D"/>
    <w:pPr>
      <w:numPr>
        <w:numId w:val="5"/>
      </w:numPr>
    </w:pPr>
  </w:style>
  <w:style w:type="paragraph" w:styleId="ListNumber5">
    <w:name w:val="List Number 5"/>
    <w:basedOn w:val="List5"/>
    <w:rsid w:val="00A61A4D"/>
    <w:pPr>
      <w:numPr>
        <w:numId w:val="6"/>
      </w:numPr>
    </w:pPr>
  </w:style>
  <w:style w:type="paragraph" w:styleId="BlockText">
    <w:name w:val="Block Text"/>
    <w:basedOn w:val="Normal"/>
    <w:rsid w:val="00A61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A4D"/>
    <w:rPr>
      <w:sz w:val="16"/>
      <w:vertAlign w:val="superscript"/>
    </w:rPr>
  </w:style>
  <w:style w:type="character" w:customStyle="1" w:styleId="Symbols">
    <w:name w:val="Symbols"/>
    <w:basedOn w:val="DefaultParagraphFont"/>
    <w:rsid w:val="00A61A4D"/>
    <w:rPr>
      <w:rFonts w:ascii="Symbol" w:hAnsi="Symbol"/>
    </w:rPr>
  </w:style>
  <w:style w:type="character" w:customStyle="1" w:styleId="MenuOptions">
    <w:name w:val="Menu Options"/>
    <w:basedOn w:val="DefaultParagraphFont"/>
    <w:rsid w:val="00A61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A4D"/>
    <w:rPr>
      <w:b/>
    </w:rPr>
  </w:style>
  <w:style w:type="character" w:customStyle="1" w:styleId="Underlined">
    <w:name w:val="Underlined"/>
    <w:basedOn w:val="DefaultParagraphFont"/>
    <w:rsid w:val="00A61A4D"/>
    <w:rPr>
      <w:u w:val="single"/>
    </w:rPr>
  </w:style>
  <w:style w:type="paragraph" w:customStyle="1" w:styleId="TableBodyTextRight">
    <w:name w:val="Table Body Text Right"/>
    <w:basedOn w:val="TableBodyText"/>
    <w:rsid w:val="00A61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A4D"/>
    <w:rPr>
      <w:sz w:val="18"/>
    </w:rPr>
  </w:style>
  <w:style w:type="paragraph" w:customStyle="1" w:styleId="BodySmallRight">
    <w:name w:val="Body Small Right"/>
    <w:basedOn w:val="BodyTextRight"/>
    <w:rsid w:val="00A61A4D"/>
    <w:rPr>
      <w:sz w:val="18"/>
      <w:szCs w:val="18"/>
    </w:rPr>
  </w:style>
  <w:style w:type="paragraph" w:customStyle="1" w:styleId="MarginEdition">
    <w:name w:val="Margin Edition"/>
    <w:basedOn w:val="MarginNote"/>
    <w:rsid w:val="00A61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A4D"/>
    <w:rPr>
      <w:sz w:val="2"/>
      <w:szCs w:val="2"/>
    </w:rPr>
  </w:style>
  <w:style w:type="character" w:customStyle="1" w:styleId="Small">
    <w:name w:val="Small"/>
    <w:basedOn w:val="DefaultParagraphFont"/>
    <w:rsid w:val="00A61A4D"/>
    <w:rPr>
      <w:sz w:val="16"/>
    </w:rPr>
  </w:style>
  <w:style w:type="paragraph" w:customStyle="1" w:styleId="WideTable">
    <w:name w:val="Wide Table"/>
    <w:basedOn w:val="Normal"/>
    <w:rsid w:val="00A61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A4D"/>
  </w:style>
  <w:style w:type="paragraph" w:styleId="Quote">
    <w:name w:val="Quote"/>
    <w:basedOn w:val="Heading1"/>
    <w:link w:val="QuoteChar"/>
    <w:qFormat/>
    <w:rsid w:val="00A61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A4D"/>
    <w:pPr>
      <w:pageBreakBefore/>
    </w:pPr>
  </w:style>
  <w:style w:type="paragraph" w:customStyle="1" w:styleId="Border">
    <w:name w:val="Border"/>
    <w:basedOn w:val="Normal"/>
    <w:qFormat/>
    <w:rsid w:val="00A61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A4D"/>
    <w:rPr>
      <w:u w:val="single"/>
    </w:rPr>
  </w:style>
  <w:style w:type="character" w:customStyle="1" w:styleId="BoldandItalics">
    <w:name w:val="Bold and Italics"/>
    <w:qFormat/>
    <w:rsid w:val="00A61A4D"/>
    <w:rPr>
      <w:b/>
      <w:i/>
      <w:u w:val="none"/>
    </w:rPr>
  </w:style>
  <w:style w:type="paragraph" w:styleId="BalloonText">
    <w:name w:val="Balloon Text"/>
    <w:basedOn w:val="Normal"/>
    <w:link w:val="BalloonTextChar"/>
    <w:rsid w:val="00A61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A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A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A4D"/>
    <w:pPr>
      <w:spacing w:before="0" w:after="0"/>
    </w:pPr>
  </w:style>
  <w:style w:type="paragraph" w:customStyle="1" w:styleId="BodyTextBold">
    <w:name w:val="Body Text Bold"/>
    <w:basedOn w:val="BodyText"/>
    <w:qFormat/>
    <w:rsid w:val="00A61A4D"/>
    <w:rPr>
      <w:b/>
    </w:rPr>
  </w:style>
  <w:style w:type="character" w:styleId="Hyperlink">
    <w:name w:val="Hyperlink"/>
    <w:basedOn w:val="DefaultParagraphFont"/>
    <w:uiPriority w:val="99"/>
    <w:unhideWhenUsed/>
    <w:rsid w:val="00EC7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3085</Characters>
  <Application>Microsoft Office Word</Application>
  <DocSecurity>0</DocSecurity>
  <Lines>118</Lines>
  <Paragraphs>82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AMPA2015 Number carcase and head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2025-03-01T16:34:00Z</dcterms:created>
  <dcterms:modified xsi:type="dcterms:W3CDTF">2025-03-01T16:34:00Z</dcterms:modified>
</cp:coreProperties>
</file>