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392" w:rsidP="00130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AMPA2013 Complete changeover operation</w:t>
      </w:r>
      <w:r>
        <w:fldChar w:fldCharType="end"/>
      </w:r>
    </w:p>
    <w:p w:rsidR="00130392" w:rsidP="00130392">
      <w:pPr>
        <w:pStyle w:val="Version"/>
        <w:sectPr w:rsidSect="00C21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C9E" w:rsidP="00C21C9E">
      <w:pPr>
        <w:pStyle w:val="SuperHeading"/>
      </w:pPr>
      <w:r w:rsidRPr="00C21C9E">
        <w:t>AMPA2013 Complete changeover operation</w:t>
      </w:r>
    </w:p>
    <w:p w:rsidR="00000000" w:rsidRPr="00C21C9E" w:rsidP="00C21C9E">
      <w:pPr>
        <w:pStyle w:val="Heading1"/>
      </w:pPr>
      <w:bookmarkStart w:id="1" w:name="O_888140"/>
      <w:bookmarkEnd w:id="1"/>
      <w:r w:rsidRPr="00C21C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1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TableHeading"/>
              <w:rPr>
                <w:lang w:val="en-NZ"/>
              </w:rPr>
            </w:pPr>
            <w:r w:rsidRPr="00C21C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TableHeading"/>
              <w:rPr>
                <w:lang w:val="en-NZ"/>
              </w:rPr>
            </w:pPr>
            <w:r w:rsidRPr="00C21C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TableHeading"/>
              <w:rPr>
                <w:lang w:val="en-NZ"/>
              </w:rPr>
            </w:pPr>
            <w:r w:rsidRPr="00C21C9E">
              <w:t>Comment</w:t>
            </w:r>
          </w:p>
        </w:tc>
      </w:tr>
      <w:tr w:rsidTr="00C21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BodyText"/>
              <w:rPr>
                <w:lang w:val="en-NZ"/>
              </w:rPr>
            </w:pPr>
            <w:r w:rsidRPr="00C21C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BodyText"/>
              <w:rPr>
                <w:lang w:val="en-NZ"/>
              </w:rPr>
            </w:pPr>
            <w:r w:rsidRPr="00C21C9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C9E" w:rsidP="00C21C9E">
            <w:pPr>
              <w:pStyle w:val="BodyText"/>
            </w:pPr>
            <w:r w:rsidRPr="00C21C9E">
              <w:t>Initial release</w:t>
            </w:r>
          </w:p>
        </w:tc>
      </w:tr>
    </w:tbl>
    <w:p w:rsidR="00000000" w:rsidRPr="00C21C9E" w:rsidP="00C21C9E">
      <w:pPr>
        <w:pStyle w:val="BodyText"/>
      </w:pPr>
    </w:p>
    <w:p w:rsidR="00000000" w:rsidRPr="00C21C9E" w:rsidP="00C21C9E">
      <w:pPr>
        <w:pStyle w:val="AllowPageBreak"/>
      </w:pPr>
    </w:p>
    <w:p w:rsidR="00000000" w:rsidRPr="00C21C9E" w:rsidP="00C21C9E">
      <w:pPr>
        <w:pStyle w:val="Heading1"/>
      </w:pPr>
      <w:bookmarkStart w:id="2" w:name="O_888141"/>
      <w:bookmarkEnd w:id="2"/>
      <w:r w:rsidRPr="00C21C9E">
        <w:t>Application</w:t>
      </w:r>
    </w:p>
    <w:p w:rsidR="00000000" w:rsidRPr="00C21C9E" w:rsidP="00130392">
      <w:pPr>
        <w:pStyle w:val="BodyText"/>
      </w:pPr>
      <w:r w:rsidRPr="00C21C9E">
        <w:t>This unit describes the skills and knowledge required to re-position carcases on a processing chain.</w:t>
      </w:r>
    </w:p>
    <w:p w:rsidR="00000000" w:rsidRPr="00C21C9E" w:rsidP="00130392">
      <w:pPr>
        <w:pStyle w:val="BodyText"/>
      </w:pPr>
      <w:r w:rsidRPr="00C21C9E">
        <w:t>This unit is applicable to abattoirs, wild game processing establishments and knackeries.</w:t>
      </w:r>
    </w:p>
    <w:p w:rsidR="00000000" w:rsidRPr="00C21C9E" w:rsidP="00130392">
      <w:pPr>
        <w:pStyle w:val="BodyText"/>
      </w:pPr>
      <w:r w:rsidRPr="00C21C9E">
        <w:t xml:space="preserve">All work should be carried out to comply with workplace and hygiene requirements. </w:t>
      </w:r>
    </w:p>
    <w:p w:rsidR="00000000" w:rsidRPr="00C21C9E" w:rsidP="00130392">
      <w:pPr>
        <w:pStyle w:val="BodyText"/>
      </w:pPr>
      <w:r w:rsidRPr="00C21C9E">
        <w:t>This unit applies to individuals who work under general supervision, exercise lim</w:t>
      </w:r>
      <w:r w:rsidRPr="00C21C9E">
        <w:t>ited autonomy and have some accountability for their own work.</w:t>
      </w:r>
    </w:p>
    <w:p w:rsidR="00000000" w:rsidRPr="00C21C9E" w:rsidP="00130392">
      <w:pPr>
        <w:pStyle w:val="BodyText"/>
      </w:pPr>
      <w:r w:rsidRPr="00C21C9E">
        <w:t>No occupational licensing, legislative or certification requirements are known to apply to this unit at the time of publication.</w:t>
      </w:r>
    </w:p>
    <w:p w:rsidR="00000000" w:rsidRPr="00C21C9E" w:rsidP="00130392">
      <w:pPr>
        <w:pStyle w:val="BodyText"/>
      </w:pPr>
      <w:r w:rsidRPr="00C21C9E">
        <w:t>This unit must be delivered and assessed in the context of Aus</w:t>
      </w:r>
      <w:r w:rsidRPr="00C21C9E">
        <w:t>tralian meat processing standards and regulations.</w:t>
      </w:r>
    </w:p>
    <w:p w:rsidR="00000000" w:rsidRPr="00C21C9E" w:rsidP="00C21C9E">
      <w:pPr>
        <w:pStyle w:val="Heading1"/>
      </w:pPr>
      <w:bookmarkStart w:id="3" w:name="O_888142"/>
      <w:bookmarkEnd w:id="3"/>
      <w:r w:rsidRPr="00C21C9E">
        <w:t>Pre-requisite Unit</w:t>
      </w:r>
    </w:p>
    <w:p w:rsidR="00000000" w:rsidRPr="00C21C9E" w:rsidP="00130392">
      <w:pPr>
        <w:pStyle w:val="BodyText"/>
      </w:pPr>
      <w:r w:rsidRPr="00C21C9E">
        <w:t>Nil.</w:t>
      </w:r>
    </w:p>
    <w:p w:rsidR="00000000" w:rsidRPr="00C21C9E" w:rsidP="00C21C9E">
      <w:pPr>
        <w:pStyle w:val="Heading1"/>
      </w:pPr>
      <w:bookmarkStart w:id="4" w:name="O_888144"/>
      <w:bookmarkEnd w:id="4"/>
      <w:r w:rsidRPr="00C21C9E">
        <w:t>Unit Sector</w:t>
      </w:r>
    </w:p>
    <w:p w:rsidR="00000000" w:rsidRPr="00C21C9E" w:rsidP="00C21C9E">
      <w:pPr>
        <w:pStyle w:val="Heading1"/>
      </w:pPr>
      <w:bookmarkStart w:id="5" w:name="O_888145"/>
      <w:bookmarkEnd w:id="5"/>
      <w:r w:rsidRPr="00C21C9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303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Heading4"/>
              <w:rPr>
                <w:lang w:val="en-NZ"/>
              </w:rPr>
            </w:pPr>
            <w:r w:rsidRPr="00C21C9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Heading4"/>
              <w:rPr>
                <w:lang w:val="en-NZ"/>
              </w:rPr>
            </w:pPr>
            <w:r w:rsidRPr="00C21C9E">
              <w:t>Performance criteria</w:t>
            </w:r>
          </w:p>
        </w:tc>
      </w:tr>
      <w:tr w:rsidTr="001303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BodyText"/>
              <w:rPr>
                <w:lang w:val="en-NZ"/>
              </w:rPr>
            </w:pPr>
            <w:r w:rsidRPr="00C21C9E">
              <w:t xml:space="preserve">Elements describe the </w:t>
            </w:r>
            <w:r w:rsidRPr="00C21C9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BodyText"/>
              <w:rPr>
                <w:lang w:val="en-NZ"/>
              </w:rPr>
            </w:pPr>
            <w:r w:rsidRPr="00C21C9E">
              <w:t xml:space="preserve">Performance criteria describe the performance needed to </w:t>
            </w:r>
            <w:r w:rsidRPr="00C21C9E">
              <w:t>demonstrate achievement of the element.</w:t>
            </w:r>
          </w:p>
        </w:tc>
      </w:tr>
      <w:tr w:rsidTr="001303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List"/>
              <w:rPr>
                <w:lang w:val="en-NZ"/>
              </w:rPr>
            </w:pPr>
            <w:r w:rsidRPr="00C21C9E">
              <w:t>1.</w:t>
            </w:r>
            <w:r w:rsidRPr="00C21C9E">
              <w:tab/>
              <w:t>Re-position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C9E" w:rsidP="00C21C9E">
            <w:pPr>
              <w:pStyle w:val="List"/>
            </w:pPr>
            <w:r w:rsidRPr="00C21C9E">
              <w:t>1.1</w:t>
            </w:r>
            <w:r w:rsidRPr="00C21C9E">
              <w:tab/>
              <w:t>Complete changeover in accordance with workplace requirements</w:t>
            </w:r>
          </w:p>
          <w:p w:rsidR="00000000" w:rsidRPr="00C21C9E" w:rsidP="00C21C9E">
            <w:pPr>
              <w:pStyle w:val="List"/>
            </w:pPr>
            <w:r w:rsidRPr="00C21C9E">
              <w:t>1.2</w:t>
            </w:r>
            <w:r w:rsidRPr="00C21C9E">
              <w:tab/>
              <w:t>Complete changeover in accordance with workplace health and safety</w:t>
            </w:r>
            <w:r w:rsidRPr="00C21C9E">
              <w:t xml:space="preserve"> requirements</w:t>
            </w:r>
          </w:p>
          <w:p w:rsidR="00000000" w:rsidRPr="00C21C9E" w:rsidP="00C21C9E">
            <w:pPr>
              <w:pStyle w:val="List"/>
            </w:pPr>
            <w:r w:rsidRPr="00C21C9E">
              <w:t>1.3</w:t>
            </w:r>
            <w:r w:rsidRPr="00C21C9E">
              <w:tab/>
              <w:t>Store or dispose of gambrels, spreaders and slides, when used, according to workplace requirements</w:t>
            </w:r>
          </w:p>
          <w:p w:rsidR="00000000" w:rsidRPr="00C21C9E" w:rsidP="00C21C9E">
            <w:pPr>
              <w:pStyle w:val="List"/>
            </w:pPr>
            <w:r w:rsidRPr="00C21C9E">
              <w:t>1.4</w:t>
            </w:r>
            <w:r w:rsidRPr="00C21C9E">
              <w:tab/>
              <w:t>Check equipment for defects (when this forms part of work instructions)</w:t>
            </w:r>
          </w:p>
        </w:tc>
      </w:tr>
    </w:tbl>
    <w:p w:rsidR="00000000" w:rsidRPr="00C21C9E" w:rsidP="00C21C9E">
      <w:pPr>
        <w:pStyle w:val="BodyText"/>
      </w:pPr>
    </w:p>
    <w:p w:rsidR="00000000" w:rsidRPr="00C21C9E" w:rsidP="00C21C9E">
      <w:pPr>
        <w:pStyle w:val="AllowPageBreak"/>
      </w:pPr>
    </w:p>
    <w:p w:rsidR="00000000" w:rsidRPr="00C21C9E" w:rsidP="00C21C9E">
      <w:pPr>
        <w:pStyle w:val="Heading1"/>
      </w:pPr>
      <w:bookmarkStart w:id="6" w:name="O_888146"/>
      <w:bookmarkEnd w:id="6"/>
      <w:r w:rsidRPr="00C21C9E">
        <w:t>Foundation Skills</w:t>
      </w:r>
    </w:p>
    <w:p w:rsidR="00000000" w:rsidRPr="00C21C9E" w:rsidP="00130392">
      <w:pPr>
        <w:pStyle w:val="BodyText"/>
      </w:pPr>
      <w:r w:rsidRPr="00C21C9E">
        <w:t>Foundation Skills essential to performance are explicit in the performance criteria of this unit of competency.</w:t>
      </w:r>
    </w:p>
    <w:p w:rsidR="00000000" w:rsidRPr="00C21C9E" w:rsidP="00C21C9E">
      <w:pPr>
        <w:pStyle w:val="Heading1"/>
      </w:pPr>
      <w:bookmarkStart w:id="7" w:name="O_888147"/>
      <w:bookmarkEnd w:id="7"/>
      <w:r w:rsidRPr="00C21C9E">
        <w:t>Range of Conditions</w:t>
      </w:r>
    </w:p>
    <w:p w:rsidR="00000000" w:rsidRPr="00C21C9E" w:rsidP="00C21C9E">
      <w:pPr>
        <w:pStyle w:val="Heading1"/>
      </w:pPr>
      <w:bookmarkStart w:id="8" w:name="O_888148"/>
      <w:bookmarkEnd w:id="8"/>
      <w:r w:rsidRPr="00C21C9E">
        <w:t>Unit Mapping Information</w:t>
      </w:r>
    </w:p>
    <w:p w:rsidR="00000000" w:rsidRPr="00C21C9E" w:rsidP="00130392">
      <w:pPr>
        <w:pStyle w:val="BodyText"/>
      </w:pPr>
      <w:r w:rsidRPr="00C21C9E">
        <w:t>This unit is equivalent to MTMP2018C Complete changeover operation</w:t>
      </w:r>
      <w:r w:rsidRPr="00C21C9E">
        <w:t>.</w:t>
      </w:r>
    </w:p>
    <w:p w:rsidR="00000000" w:rsidRPr="00C21C9E" w:rsidP="00C21C9E">
      <w:pPr>
        <w:pStyle w:val="Heading1"/>
      </w:pPr>
      <w:bookmarkStart w:id="9" w:name="O_888155"/>
      <w:bookmarkEnd w:id="9"/>
      <w:r w:rsidRPr="00C21C9E">
        <w:t>Links</w:t>
      </w:r>
    </w:p>
    <w:p w:rsidR="00000000" w:rsidRPr="00C21C9E" w:rsidP="00130392">
      <w:pPr>
        <w:pStyle w:val="BodyText"/>
      </w:pPr>
      <w:r w:rsidRPr="00C21C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76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1C9E" w:rsidP="00130392">
      <w:pPr>
        <w:pStyle w:val="BodyText"/>
        <w:sectPr w:rsidSect="00C21C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1C9E" w:rsidP="00C21C9E">
      <w:pPr>
        <w:pStyle w:val="SuperHeading"/>
      </w:pPr>
      <w:r w:rsidRPr="00C21C9E">
        <w:t>Assessment Requirements for AMPA2013 C</w:t>
      </w:r>
      <w:r w:rsidRPr="00C21C9E">
        <w:t>omplete changeover operation</w:t>
      </w:r>
    </w:p>
    <w:p w:rsidR="00000000" w:rsidRPr="00C21C9E" w:rsidP="00C21C9E">
      <w:pPr>
        <w:pStyle w:val="Heading1"/>
      </w:pPr>
      <w:bookmarkStart w:id="10" w:name="O_888150"/>
      <w:bookmarkEnd w:id="10"/>
      <w:r w:rsidRPr="00C21C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1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TableHeading"/>
              <w:rPr>
                <w:lang w:val="en-NZ"/>
              </w:rPr>
            </w:pPr>
            <w:r w:rsidRPr="00C21C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TableHeading"/>
              <w:rPr>
                <w:lang w:val="en-NZ"/>
              </w:rPr>
            </w:pPr>
            <w:r w:rsidRPr="00C21C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TableHeading"/>
              <w:rPr>
                <w:lang w:val="en-NZ"/>
              </w:rPr>
            </w:pPr>
            <w:r w:rsidRPr="00C21C9E">
              <w:t>Comment</w:t>
            </w:r>
          </w:p>
        </w:tc>
      </w:tr>
      <w:tr w:rsidTr="00C21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BodyText"/>
              <w:rPr>
                <w:lang w:val="en-NZ"/>
              </w:rPr>
            </w:pPr>
            <w:r w:rsidRPr="00C21C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C9E">
            <w:pPr>
              <w:pStyle w:val="BodyText"/>
              <w:rPr>
                <w:lang w:val="en-NZ"/>
              </w:rPr>
            </w:pPr>
            <w:r w:rsidRPr="00C21C9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C9E" w:rsidP="00C21C9E">
            <w:pPr>
              <w:pStyle w:val="BodyText"/>
            </w:pPr>
            <w:r w:rsidRPr="00C21C9E">
              <w:t>Initial release</w:t>
            </w:r>
          </w:p>
        </w:tc>
      </w:tr>
    </w:tbl>
    <w:p w:rsidR="00000000" w:rsidRPr="00C21C9E" w:rsidP="00C21C9E">
      <w:pPr>
        <w:pStyle w:val="BodyText"/>
      </w:pPr>
    </w:p>
    <w:p w:rsidR="00000000" w:rsidRPr="00C21C9E" w:rsidP="00C21C9E">
      <w:pPr>
        <w:pStyle w:val="AllowPageBreak"/>
      </w:pPr>
    </w:p>
    <w:p w:rsidR="00000000" w:rsidRPr="00C21C9E" w:rsidP="00C21C9E">
      <w:pPr>
        <w:pStyle w:val="Heading1"/>
      </w:pPr>
      <w:bookmarkStart w:id="11" w:name="O_888151"/>
      <w:bookmarkEnd w:id="11"/>
      <w:r w:rsidRPr="00C21C9E">
        <w:t>Performance Evidence</w:t>
      </w:r>
    </w:p>
    <w:p w:rsidR="00000000" w:rsidRPr="00C21C9E" w:rsidP="00130392">
      <w:pPr>
        <w:pStyle w:val="BodyText"/>
      </w:pPr>
      <w:r w:rsidRPr="00C21C9E">
        <w:t>The candidate must re-position carcases on a processing chain.</w:t>
      </w:r>
    </w:p>
    <w:p w:rsidR="00000000" w:rsidRPr="00C21C9E" w:rsidP="00130392">
      <w:pPr>
        <w:pStyle w:val="BodyText"/>
      </w:pPr>
      <w:r w:rsidRPr="00C21C9E">
        <w:t xml:space="preserve">The candidate must: </w:t>
      </w:r>
    </w:p>
    <w:p w:rsidR="00000000" w:rsidRPr="00C21C9E" w:rsidP="00C21C9E">
      <w:pPr>
        <w:pStyle w:val="ListBullet"/>
      </w:pPr>
      <w:r w:rsidRPr="00C21C9E">
        <w:t>complete changeover in accordance with work instructions</w:t>
      </w:r>
    </w:p>
    <w:p w:rsidR="00000000" w:rsidRPr="00C21C9E" w:rsidP="00C21C9E">
      <w:pPr>
        <w:pStyle w:val="ListBullet"/>
      </w:pPr>
      <w:r w:rsidRPr="00C21C9E">
        <w:t>complete changeover operation to workplace health and safety requirements</w:t>
      </w:r>
    </w:p>
    <w:p w:rsidR="00000000" w:rsidRPr="00C21C9E" w:rsidP="00C21C9E">
      <w:pPr>
        <w:pStyle w:val="ListBullet"/>
      </w:pPr>
      <w:r w:rsidRPr="00C21C9E">
        <w:t>treat iron work such as gambrels, spreaders and rollers in accordance with workplace requirements</w:t>
      </w:r>
    </w:p>
    <w:p w:rsidR="00000000" w:rsidRPr="00C21C9E" w:rsidP="00C21C9E">
      <w:pPr>
        <w:pStyle w:val="ListBullet"/>
      </w:pPr>
      <w:r w:rsidRPr="00C21C9E">
        <w:t>identify relevant defects i</w:t>
      </w:r>
      <w:r w:rsidRPr="00C21C9E">
        <w:t>n iron work (e.g. spreader, rollers), if used</w:t>
      </w:r>
    </w:p>
    <w:p w:rsidR="00000000" w:rsidRPr="00C21C9E" w:rsidP="00C21C9E">
      <w:pPr>
        <w:pStyle w:val="ListBullet"/>
      </w:pPr>
      <w:r w:rsidRPr="00C21C9E">
        <w:t>use correct manual handling techniques for changeover operation</w:t>
      </w:r>
    </w:p>
    <w:p w:rsidR="00000000" w:rsidRPr="00C21C9E" w:rsidP="00C21C9E">
      <w:pPr>
        <w:pStyle w:val="ListBullet"/>
      </w:pPr>
      <w:r w:rsidRPr="00C21C9E">
        <w:t>apply relevant regulatory requirements</w:t>
      </w:r>
    </w:p>
    <w:p w:rsidR="00000000" w:rsidRPr="00C21C9E" w:rsidP="00C21C9E">
      <w:pPr>
        <w:pStyle w:val="AllowPageBreak"/>
      </w:pPr>
    </w:p>
    <w:p w:rsidR="00000000" w:rsidRPr="00C21C9E" w:rsidP="00C21C9E">
      <w:pPr>
        <w:pStyle w:val="Heading1"/>
      </w:pPr>
      <w:bookmarkStart w:id="12" w:name="O_888152"/>
      <w:bookmarkEnd w:id="12"/>
      <w:r w:rsidRPr="00C21C9E">
        <w:t>Knowledge Evidence</w:t>
      </w:r>
    </w:p>
    <w:p w:rsidR="00000000" w:rsidRPr="00C21C9E" w:rsidP="00130392">
      <w:pPr>
        <w:pStyle w:val="BodyText"/>
      </w:pPr>
      <w:r w:rsidRPr="00C21C9E">
        <w:t>The candidate must demonstrate a basic factual, technical and procedura</w:t>
      </w:r>
      <w:r w:rsidRPr="00C21C9E">
        <w:t xml:space="preserve">l knowledge of: </w:t>
      </w:r>
    </w:p>
    <w:p w:rsidR="00000000" w:rsidRPr="00C21C9E" w:rsidP="00C21C9E">
      <w:pPr>
        <w:pStyle w:val="ListBullet"/>
      </w:pPr>
      <w:r w:rsidRPr="00C21C9E">
        <w:t>workplace health and safety requirements including manual handling procedures associated with changeover</w:t>
      </w:r>
    </w:p>
    <w:p w:rsidR="00000000" w:rsidRPr="00C21C9E" w:rsidP="00C21C9E">
      <w:pPr>
        <w:pStyle w:val="ListBullet"/>
      </w:pPr>
      <w:r w:rsidRPr="00C21C9E">
        <w:t>the consequences of incorrectly re-positioning the carcase on the chain</w:t>
      </w:r>
    </w:p>
    <w:p w:rsidR="00000000" w:rsidRPr="00C21C9E" w:rsidP="00C21C9E">
      <w:pPr>
        <w:pStyle w:val="ListBullet"/>
      </w:pPr>
      <w:r w:rsidRPr="00C21C9E">
        <w:t>work instructions for the changeover operation</w:t>
      </w:r>
    </w:p>
    <w:p w:rsidR="00000000" w:rsidRPr="00C21C9E" w:rsidP="00C21C9E">
      <w:pPr>
        <w:pStyle w:val="ListBullet"/>
      </w:pPr>
      <w:r w:rsidRPr="00C21C9E">
        <w:t>relevant regul</w:t>
      </w:r>
      <w:r w:rsidRPr="00C21C9E">
        <w:t>atory requirements</w:t>
      </w:r>
    </w:p>
    <w:p w:rsidR="00000000" w:rsidRPr="00C21C9E" w:rsidP="00C21C9E">
      <w:pPr>
        <w:pStyle w:val="ListBullet"/>
      </w:pPr>
      <w:r w:rsidRPr="00C21C9E">
        <w:t>appropriate reporting procedures for defects</w:t>
      </w:r>
    </w:p>
    <w:p w:rsidR="00000000" w:rsidRPr="00C21C9E" w:rsidP="00C21C9E">
      <w:pPr>
        <w:pStyle w:val="AllowPageBreak"/>
      </w:pPr>
    </w:p>
    <w:p w:rsidR="00000000" w:rsidRPr="00C21C9E" w:rsidP="00C21C9E">
      <w:pPr>
        <w:pStyle w:val="Heading1"/>
      </w:pPr>
      <w:bookmarkStart w:id="13" w:name="O_888153"/>
      <w:bookmarkEnd w:id="13"/>
      <w:r w:rsidRPr="00C21C9E">
        <w:t>Assessment Conditions</w:t>
      </w:r>
    </w:p>
    <w:p w:rsidR="00000000" w:rsidRPr="00C21C9E" w:rsidP="00130392">
      <w:pPr>
        <w:pStyle w:val="BodyText"/>
      </w:pPr>
      <w:r w:rsidRPr="00C21C9E">
        <w:t>Assessment must occur in the workplace under normal production conditions.</w:t>
      </w:r>
    </w:p>
    <w:p w:rsidR="00000000" w:rsidRPr="00C21C9E" w:rsidP="00130392">
      <w:pPr>
        <w:pStyle w:val="BodyText"/>
      </w:pPr>
      <w:r w:rsidRPr="00C21C9E">
        <w:t>Competency must be demonstrated at chain speed.</w:t>
      </w:r>
    </w:p>
    <w:p w:rsidR="00000000" w:rsidRPr="00C21C9E" w:rsidP="00130392">
      <w:pPr>
        <w:pStyle w:val="BodyText"/>
      </w:pPr>
      <w:r w:rsidRPr="00C21C9E">
        <w:t>As a minimum, the following three forms of assessment must be used:</w:t>
      </w:r>
    </w:p>
    <w:p w:rsidR="00000000" w:rsidRPr="00C21C9E" w:rsidP="00C21C9E">
      <w:pPr>
        <w:pStyle w:val="ListBullet"/>
      </w:pPr>
      <w:r w:rsidRPr="00C21C9E">
        <w:t>quiz of underpinning knowledge</w:t>
      </w:r>
    </w:p>
    <w:p w:rsidR="00000000" w:rsidRPr="00C21C9E" w:rsidP="00C21C9E">
      <w:pPr>
        <w:pStyle w:val="ListBullet"/>
      </w:pPr>
      <w:r w:rsidRPr="00C21C9E">
        <w:t xml:space="preserve">workplace demonstration </w:t>
      </w:r>
    </w:p>
    <w:p w:rsidR="00000000" w:rsidRPr="00C21C9E" w:rsidP="00C21C9E">
      <w:pPr>
        <w:pStyle w:val="ListBullet"/>
      </w:pPr>
      <w:r w:rsidRPr="00C21C9E">
        <w:t>workplace referee or third-party report of performance over time</w:t>
      </w:r>
    </w:p>
    <w:p w:rsidR="00000000" w:rsidRPr="00C21C9E" w:rsidP="00C21C9E">
      <w:pPr>
        <w:pStyle w:val="BodyText"/>
      </w:pPr>
    </w:p>
    <w:p w:rsidR="00000000" w:rsidRPr="00C21C9E" w:rsidP="00130392">
      <w:pPr>
        <w:pStyle w:val="BodyText"/>
      </w:pPr>
      <w:r w:rsidRPr="00C21C9E">
        <w:t>Assessors must satisfy the current standards for RTOs.</w:t>
      </w:r>
    </w:p>
    <w:p w:rsidR="00000000" w:rsidRPr="00C21C9E" w:rsidP="00C21C9E">
      <w:pPr>
        <w:pStyle w:val="Heading1"/>
      </w:pPr>
      <w:bookmarkStart w:id="14" w:name="O_888156"/>
      <w:bookmarkEnd w:id="14"/>
      <w:r w:rsidRPr="00C21C9E">
        <w:t>Links</w:t>
      </w:r>
    </w:p>
    <w:p w:rsidR="00000000" w:rsidRPr="00C21C9E" w:rsidP="00130392">
      <w:pPr>
        <w:pStyle w:val="BodyText"/>
      </w:pPr>
      <w:r w:rsidRPr="00C21C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76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1C9E" w:rsidP="00C21C9E"/>
    <w:sectPr w:rsidSect="00C21C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9E" w:rsidRPr="00130392" w:rsidP="00130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92" w:rsidP="00C21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392" w:rsidP="00C21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0392" w:rsidP="00C21C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9E" w:rsidP="00C21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0392">
      <w:t>Approved</w:t>
    </w:r>
    <w:r w:rsidR="001303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03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0392">
      <w:rPr>
        <w:noProof/>
      </w:rPr>
      <w:t>4</w:t>
    </w:r>
    <w:r>
      <w:rPr>
        <w:noProof/>
      </w:rPr>
      <w:fldChar w:fldCharType="end"/>
    </w:r>
  </w:p>
  <w:p w:rsidR="00C21C9E" w:rsidP="00C21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03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0392">
      <w:t>Skills Insight</w:t>
    </w:r>
    <w:r w:rsidR="00130392">
      <w:fldChar w:fldCharType="end"/>
    </w:r>
  </w:p>
  <w:p w:rsidR="00C21C9E" w:rsidP="00C21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C9E" w:rsidRPr="00130392" w:rsidP="00130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92" w:rsidRPr="002D2AF8" w:rsidP="00C21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AMPA2013 Complete changeover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0392" w:rsidP="00C21C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9E" w:rsidRPr="002D2AF8" w:rsidP="00C21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0392">
      <w:t>AMPA2013 Complete changeover operation</w:t>
    </w:r>
    <w:r w:rsidR="001303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0392">
      <w:rPr>
        <w:noProof/>
      </w:rPr>
      <w:t>1 March 2025</w:t>
    </w:r>
    <w:r>
      <w:fldChar w:fldCharType="end"/>
    </w:r>
  </w:p>
  <w:p w:rsidR="00C21C9E" w:rsidP="00C21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A40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9841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C9E"/>
  </w:style>
  <w:style w:type="character" w:customStyle="1" w:styleId="Heading1Char">
    <w:name w:val="Heading 1 Char"/>
    <w:basedOn w:val="DefaultParagraphFont"/>
    <w:link w:val="Heading1"/>
    <w:rsid w:val="00C21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C9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21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C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1C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C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21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1C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1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C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1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C9E"/>
    <w:rPr>
      <w:b/>
      <w:spacing w:val="0"/>
    </w:rPr>
  </w:style>
  <w:style w:type="paragraph" w:customStyle="1" w:styleId="SuperTitle">
    <w:name w:val="SuperTitle"/>
    <w:basedOn w:val="Title"/>
    <w:rsid w:val="00C21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C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C9E"/>
    <w:rPr>
      <w:i/>
    </w:rPr>
  </w:style>
  <w:style w:type="paragraph" w:styleId="Caption">
    <w:name w:val="caption"/>
    <w:basedOn w:val="BodyText"/>
    <w:next w:val="Normal"/>
    <w:qFormat/>
    <w:rsid w:val="00C21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C9E"/>
  </w:style>
  <w:style w:type="paragraph" w:styleId="TableofFigures">
    <w:name w:val="table of figures"/>
    <w:basedOn w:val="Normal"/>
    <w:next w:val="Normal"/>
    <w:semiHidden/>
    <w:rsid w:val="00C21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C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1C9E"/>
    <w:rPr>
      <w:rFonts w:ascii="Wingdings" w:hAnsi="Wingdings"/>
    </w:rPr>
  </w:style>
  <w:style w:type="character" w:customStyle="1" w:styleId="HotSpot">
    <w:name w:val="HotSpot"/>
    <w:rsid w:val="00C21C9E"/>
    <w:rPr>
      <w:color w:val="0033CC"/>
      <w:u w:val="none"/>
    </w:rPr>
  </w:style>
  <w:style w:type="paragraph" w:customStyle="1" w:styleId="BodyTextRight">
    <w:name w:val="Body Text Right"/>
    <w:basedOn w:val="BodyText"/>
    <w:rsid w:val="00C21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C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C9E"/>
    <w:rPr>
      <w:sz w:val="32"/>
    </w:rPr>
  </w:style>
  <w:style w:type="paragraph" w:customStyle="1" w:styleId="HeadingProcedure">
    <w:name w:val="Heading Procedure"/>
    <w:basedOn w:val="HeadingBase"/>
    <w:next w:val="Normal"/>
    <w:rsid w:val="00C21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C9E"/>
    <w:pPr>
      <w:spacing w:before="60" w:after="60"/>
    </w:pPr>
  </w:style>
  <w:style w:type="paragraph" w:styleId="ListContinue">
    <w:name w:val="List Continue"/>
    <w:basedOn w:val="List"/>
    <w:rsid w:val="00C21C9E"/>
    <w:pPr>
      <w:ind w:firstLine="0"/>
    </w:pPr>
  </w:style>
  <w:style w:type="paragraph" w:customStyle="1" w:styleId="ListNote">
    <w:name w:val="List Note"/>
    <w:basedOn w:val="List"/>
    <w:rsid w:val="00C21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C9E"/>
    <w:rPr>
      <w:rFonts w:ascii="Courier New" w:hAnsi="Courier New"/>
    </w:rPr>
  </w:style>
  <w:style w:type="paragraph" w:customStyle="1" w:styleId="NoteBullet">
    <w:name w:val="Note Bullet"/>
    <w:basedOn w:val="Note"/>
    <w:rsid w:val="00C21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C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1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C9E"/>
    <w:rPr>
      <w:b/>
      <w:smallCaps/>
    </w:rPr>
  </w:style>
  <w:style w:type="paragraph" w:customStyle="1" w:styleId="TableListNumber">
    <w:name w:val="Table List Number"/>
    <w:basedOn w:val="ListNumber"/>
    <w:rsid w:val="00C21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C9E"/>
    <w:pPr>
      <w:numPr>
        <w:numId w:val="8"/>
      </w:numPr>
    </w:pPr>
  </w:style>
  <w:style w:type="paragraph" w:customStyle="1" w:styleId="ListAlpha2">
    <w:name w:val="List Alpha 2"/>
    <w:basedOn w:val="List2"/>
    <w:rsid w:val="00C21C9E"/>
    <w:pPr>
      <w:numPr>
        <w:numId w:val="7"/>
      </w:numPr>
    </w:pPr>
  </w:style>
  <w:style w:type="paragraph" w:styleId="List2">
    <w:name w:val="List 2"/>
    <w:basedOn w:val="BodyText"/>
    <w:rsid w:val="00C21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C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C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1C9E"/>
    <w:pPr>
      <w:numPr>
        <w:numId w:val="3"/>
      </w:numPr>
    </w:pPr>
  </w:style>
  <w:style w:type="paragraph" w:styleId="ListContinue2">
    <w:name w:val="List Continue 2"/>
    <w:basedOn w:val="List2"/>
    <w:rsid w:val="00C21C9E"/>
    <w:pPr>
      <w:ind w:firstLine="0"/>
    </w:pPr>
  </w:style>
  <w:style w:type="paragraph" w:styleId="ListContinue3">
    <w:name w:val="List Continue 3"/>
    <w:basedOn w:val="List3"/>
    <w:rsid w:val="00C21C9E"/>
    <w:pPr>
      <w:ind w:left="1021" w:firstLine="0"/>
    </w:pPr>
  </w:style>
  <w:style w:type="paragraph" w:styleId="ListContinue4">
    <w:name w:val="List Continue 4"/>
    <w:basedOn w:val="List4"/>
    <w:rsid w:val="00C21C9E"/>
    <w:pPr>
      <w:ind w:firstLine="0"/>
    </w:pPr>
  </w:style>
  <w:style w:type="paragraph" w:styleId="ListContinue5">
    <w:name w:val="List Continue 5"/>
    <w:basedOn w:val="List5"/>
    <w:rsid w:val="00C21C9E"/>
    <w:pPr>
      <w:ind w:firstLine="0"/>
    </w:pPr>
  </w:style>
  <w:style w:type="paragraph" w:styleId="ListNumber3">
    <w:name w:val="List Number 3"/>
    <w:basedOn w:val="List3"/>
    <w:rsid w:val="00C21C9E"/>
    <w:pPr>
      <w:numPr>
        <w:numId w:val="4"/>
      </w:numPr>
    </w:pPr>
  </w:style>
  <w:style w:type="paragraph" w:styleId="ListNumber4">
    <w:name w:val="List Number 4"/>
    <w:basedOn w:val="List4"/>
    <w:rsid w:val="00C21C9E"/>
    <w:pPr>
      <w:numPr>
        <w:numId w:val="5"/>
      </w:numPr>
    </w:pPr>
  </w:style>
  <w:style w:type="paragraph" w:styleId="ListNumber5">
    <w:name w:val="List Number 5"/>
    <w:basedOn w:val="List5"/>
    <w:rsid w:val="00C21C9E"/>
    <w:pPr>
      <w:numPr>
        <w:numId w:val="6"/>
      </w:numPr>
    </w:pPr>
  </w:style>
  <w:style w:type="paragraph" w:styleId="BlockText">
    <w:name w:val="Block Text"/>
    <w:basedOn w:val="Normal"/>
    <w:rsid w:val="00C21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C9E"/>
    <w:rPr>
      <w:sz w:val="16"/>
      <w:vertAlign w:val="superscript"/>
    </w:rPr>
  </w:style>
  <w:style w:type="character" w:customStyle="1" w:styleId="Symbols">
    <w:name w:val="Symbols"/>
    <w:basedOn w:val="DefaultParagraphFont"/>
    <w:rsid w:val="00C21C9E"/>
    <w:rPr>
      <w:rFonts w:ascii="Symbol" w:hAnsi="Symbol"/>
    </w:rPr>
  </w:style>
  <w:style w:type="character" w:customStyle="1" w:styleId="MenuOptions">
    <w:name w:val="Menu Options"/>
    <w:basedOn w:val="DefaultParagraphFont"/>
    <w:rsid w:val="00C21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C9E"/>
    <w:rPr>
      <w:b/>
    </w:rPr>
  </w:style>
  <w:style w:type="character" w:customStyle="1" w:styleId="Underlined">
    <w:name w:val="Underlined"/>
    <w:basedOn w:val="DefaultParagraphFont"/>
    <w:rsid w:val="00C21C9E"/>
    <w:rPr>
      <w:u w:val="single"/>
    </w:rPr>
  </w:style>
  <w:style w:type="paragraph" w:customStyle="1" w:styleId="TableBodyTextRight">
    <w:name w:val="Table Body Text Right"/>
    <w:basedOn w:val="TableBodyText"/>
    <w:rsid w:val="00C21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C9E"/>
    <w:rPr>
      <w:sz w:val="18"/>
    </w:rPr>
  </w:style>
  <w:style w:type="paragraph" w:customStyle="1" w:styleId="BodySmallRight">
    <w:name w:val="Body Small Right"/>
    <w:basedOn w:val="BodyTextRight"/>
    <w:rsid w:val="00C21C9E"/>
    <w:rPr>
      <w:sz w:val="18"/>
      <w:szCs w:val="18"/>
    </w:rPr>
  </w:style>
  <w:style w:type="paragraph" w:customStyle="1" w:styleId="MarginEdition">
    <w:name w:val="Margin Edition"/>
    <w:basedOn w:val="MarginNote"/>
    <w:rsid w:val="00C21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C9E"/>
    <w:rPr>
      <w:sz w:val="2"/>
      <w:szCs w:val="2"/>
    </w:rPr>
  </w:style>
  <w:style w:type="character" w:customStyle="1" w:styleId="Small">
    <w:name w:val="Small"/>
    <w:basedOn w:val="DefaultParagraphFont"/>
    <w:rsid w:val="00C21C9E"/>
    <w:rPr>
      <w:sz w:val="16"/>
    </w:rPr>
  </w:style>
  <w:style w:type="paragraph" w:customStyle="1" w:styleId="WideTable">
    <w:name w:val="Wide Table"/>
    <w:basedOn w:val="Normal"/>
    <w:rsid w:val="00C21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C9E"/>
  </w:style>
  <w:style w:type="paragraph" w:styleId="Quote">
    <w:name w:val="Quote"/>
    <w:basedOn w:val="Heading1"/>
    <w:link w:val="QuoteChar"/>
    <w:qFormat/>
    <w:rsid w:val="00C21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C9E"/>
    <w:pPr>
      <w:pageBreakBefore/>
    </w:pPr>
  </w:style>
  <w:style w:type="paragraph" w:customStyle="1" w:styleId="Border">
    <w:name w:val="Border"/>
    <w:basedOn w:val="Normal"/>
    <w:qFormat/>
    <w:rsid w:val="00C21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C9E"/>
    <w:rPr>
      <w:u w:val="single"/>
    </w:rPr>
  </w:style>
  <w:style w:type="character" w:customStyle="1" w:styleId="BoldandItalics">
    <w:name w:val="Bold and Italics"/>
    <w:qFormat/>
    <w:rsid w:val="00C21C9E"/>
    <w:rPr>
      <w:b/>
      <w:i/>
      <w:u w:val="none"/>
    </w:rPr>
  </w:style>
  <w:style w:type="paragraph" w:styleId="BalloonText">
    <w:name w:val="Balloon Text"/>
    <w:basedOn w:val="Normal"/>
    <w:link w:val="BalloonTextChar"/>
    <w:rsid w:val="00C21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C9E"/>
    <w:pPr>
      <w:spacing w:before="0" w:after="0"/>
    </w:pPr>
  </w:style>
  <w:style w:type="paragraph" w:customStyle="1" w:styleId="BodyTextBold">
    <w:name w:val="Body Text Bold"/>
    <w:basedOn w:val="BodyText"/>
    <w:qFormat/>
    <w:rsid w:val="00C21C9E"/>
    <w:rPr>
      <w:b/>
    </w:rPr>
  </w:style>
  <w:style w:type="character" w:styleId="Hyperlink">
    <w:name w:val="Hyperlink"/>
    <w:basedOn w:val="DefaultParagraphFont"/>
    <w:uiPriority w:val="99"/>
    <w:unhideWhenUsed/>
    <w:rsid w:val="00130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3235</Characters>
  <Application>Microsoft Office Word</Application>
  <DocSecurity>0</DocSecurity>
  <Lines>124</Lines>
  <Paragraphs>86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AMPA2013 Complete changeover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2025-03-01T08:24:00Z</dcterms:created>
  <dcterms:modified xsi:type="dcterms:W3CDTF">2025-03-01T08:24:00Z</dcterms:modified>
</cp:coreProperties>
</file>