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EAD" w:rsidP="008E1E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AMPA2011 Cut hocks</w:t>
      </w:r>
      <w:r>
        <w:fldChar w:fldCharType="end"/>
      </w:r>
    </w:p>
    <w:p w:rsidR="008E1EAD" w:rsidP="008E1EAD">
      <w:pPr>
        <w:pStyle w:val="Version"/>
        <w:sectPr w:rsidSect="00A166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6627" w:rsidP="00A16627">
      <w:pPr>
        <w:pStyle w:val="SuperHeading"/>
      </w:pPr>
      <w:r w:rsidRPr="00A16627">
        <w:t>AMPA2011 Cut hocks</w:t>
      </w:r>
    </w:p>
    <w:p w:rsidR="00000000" w:rsidRPr="00A16627" w:rsidP="00A16627">
      <w:pPr>
        <w:pStyle w:val="Heading1"/>
      </w:pPr>
      <w:bookmarkStart w:id="1" w:name="O_887836"/>
      <w:bookmarkEnd w:id="1"/>
      <w:r w:rsidRPr="00A166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1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27">
            <w:pPr>
              <w:pStyle w:val="TableHeading"/>
              <w:rPr>
                <w:lang w:val="en-NZ"/>
              </w:rPr>
            </w:pPr>
            <w:r w:rsidRPr="00A1662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27">
            <w:pPr>
              <w:pStyle w:val="TableHeading"/>
              <w:rPr>
                <w:lang w:val="en-NZ"/>
              </w:rPr>
            </w:pPr>
            <w:r w:rsidRPr="00A1662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27">
            <w:pPr>
              <w:pStyle w:val="TableHeading"/>
              <w:rPr>
                <w:lang w:val="en-NZ"/>
              </w:rPr>
            </w:pPr>
            <w:r w:rsidRPr="00A16627">
              <w:t>Comment</w:t>
            </w:r>
          </w:p>
        </w:tc>
      </w:tr>
      <w:tr w:rsidTr="00A1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27">
            <w:pPr>
              <w:pStyle w:val="BodyText"/>
              <w:rPr>
                <w:lang w:val="en-NZ"/>
              </w:rPr>
            </w:pPr>
            <w:r w:rsidRPr="00A1662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27">
            <w:pPr>
              <w:pStyle w:val="BodyText"/>
              <w:rPr>
                <w:lang w:val="en-NZ"/>
              </w:rPr>
            </w:pPr>
            <w:r w:rsidRPr="00A1662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627" w:rsidP="00A16627">
            <w:pPr>
              <w:pStyle w:val="BodyText"/>
            </w:pPr>
            <w:r w:rsidRPr="00A16627">
              <w:t>Initial release</w:t>
            </w:r>
          </w:p>
        </w:tc>
      </w:tr>
    </w:tbl>
    <w:p w:rsidR="00000000" w:rsidRPr="00A16627" w:rsidP="00A16627">
      <w:pPr>
        <w:pStyle w:val="BodyText"/>
      </w:pPr>
    </w:p>
    <w:p w:rsidR="00000000" w:rsidRPr="00A16627" w:rsidP="00A16627">
      <w:pPr>
        <w:pStyle w:val="AllowPageBreak"/>
      </w:pPr>
    </w:p>
    <w:p w:rsidR="00000000" w:rsidRPr="00A16627" w:rsidP="00A16627">
      <w:pPr>
        <w:pStyle w:val="Heading1"/>
      </w:pPr>
      <w:bookmarkStart w:id="2" w:name="O_887837"/>
      <w:bookmarkEnd w:id="2"/>
      <w:r w:rsidRPr="00A16627">
        <w:t>Application</w:t>
      </w:r>
    </w:p>
    <w:p w:rsidR="00000000" w:rsidRPr="00A16627" w:rsidP="008E1EAD">
      <w:pPr>
        <w:pStyle w:val="BodyText"/>
      </w:pPr>
      <w:r w:rsidRPr="00A16627">
        <w:t>This unit describes the skills and knowledge required to cut off front legs, back legs or dew claws manually and with the aid of mechanical cutters.</w:t>
      </w:r>
    </w:p>
    <w:p w:rsidR="00000000" w:rsidRPr="00A16627" w:rsidP="008E1EAD">
      <w:pPr>
        <w:pStyle w:val="BodyText"/>
      </w:pPr>
      <w:r w:rsidRPr="00A16627">
        <w:t>This unit is applicable to workers on a slaughter floor, knackery or wild game processing establishment who are required to cut hocks or dew claws.</w:t>
      </w:r>
    </w:p>
    <w:p w:rsidR="00000000" w:rsidRPr="00A16627" w:rsidP="008E1EAD">
      <w:pPr>
        <w:pStyle w:val="BodyText"/>
      </w:pPr>
      <w:r w:rsidRPr="00A16627">
        <w:t xml:space="preserve">All work should be carried out to comply with workplace and hygiene requirements. </w:t>
      </w:r>
    </w:p>
    <w:p w:rsidR="00000000" w:rsidRPr="00A16627" w:rsidP="008E1EAD">
      <w:pPr>
        <w:pStyle w:val="BodyText"/>
      </w:pPr>
      <w:r w:rsidRPr="00A16627">
        <w:t>This unit applies to in</w:t>
      </w:r>
      <w:r w:rsidRPr="00A16627">
        <w:t>dividuals who work under general supervision, exercise limited autonomy and have some accountability for their own work.</w:t>
      </w:r>
    </w:p>
    <w:p w:rsidR="00000000" w:rsidRPr="00A16627" w:rsidP="008E1EAD">
      <w:pPr>
        <w:pStyle w:val="BodyText"/>
      </w:pPr>
      <w:r w:rsidRPr="00A16627">
        <w:t>No occupational licensing, legislative or certification requirements are known to apply to this unit at the time of publication.</w:t>
      </w:r>
    </w:p>
    <w:p w:rsidR="00000000" w:rsidRPr="00A16627" w:rsidP="008E1EAD">
      <w:pPr>
        <w:pStyle w:val="BodyText"/>
      </w:pPr>
      <w:r w:rsidRPr="00A16627">
        <w:t>This</w:t>
      </w:r>
      <w:r w:rsidRPr="00A16627">
        <w:t xml:space="preserve"> unit must be delivered and assessed in the context of Australian meat processing standards and regulations.  </w:t>
      </w:r>
    </w:p>
    <w:p w:rsidR="00000000" w:rsidRPr="00A16627" w:rsidP="00A16627">
      <w:pPr>
        <w:pStyle w:val="Heading1"/>
      </w:pPr>
      <w:bookmarkStart w:id="3" w:name="O_887838"/>
      <w:bookmarkEnd w:id="3"/>
      <w:r w:rsidRPr="00A16627">
        <w:t>Pre-requisite Unit</w:t>
      </w:r>
    </w:p>
    <w:p w:rsidR="00000000" w:rsidRPr="00A16627" w:rsidP="008E1EAD">
      <w:pPr>
        <w:pStyle w:val="BodyText"/>
      </w:pPr>
      <w:r w:rsidRPr="00A16627">
        <w:t xml:space="preserve">AMPX209 Sharpen knives </w:t>
      </w:r>
    </w:p>
    <w:p w:rsidR="00000000" w:rsidRPr="00A16627" w:rsidP="00A16627">
      <w:pPr>
        <w:pStyle w:val="Heading1"/>
      </w:pPr>
      <w:bookmarkStart w:id="4" w:name="O_887840"/>
      <w:bookmarkEnd w:id="4"/>
      <w:r w:rsidRPr="00A16627">
        <w:t>Unit Sector</w:t>
      </w:r>
    </w:p>
    <w:p w:rsidR="00000000" w:rsidRPr="00A16627" w:rsidP="00A16627">
      <w:pPr>
        <w:pStyle w:val="Heading1"/>
      </w:pPr>
      <w:bookmarkStart w:id="5" w:name="O_887841"/>
      <w:bookmarkEnd w:id="5"/>
      <w:r w:rsidRPr="00A1662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E1EA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27">
            <w:pPr>
              <w:pStyle w:val="Heading4"/>
              <w:rPr>
                <w:lang w:val="en-NZ"/>
              </w:rPr>
            </w:pPr>
            <w:r w:rsidRPr="00A16627">
              <w:t>Elemen</w:t>
            </w:r>
            <w:r w:rsidRPr="00A16627">
              <w:t>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27">
            <w:pPr>
              <w:pStyle w:val="Heading4"/>
              <w:rPr>
                <w:lang w:val="en-NZ"/>
              </w:rPr>
            </w:pPr>
            <w:r w:rsidRPr="00A16627">
              <w:t>Performance criteria</w:t>
            </w:r>
          </w:p>
        </w:tc>
      </w:tr>
      <w:tr w:rsidTr="008E1EA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27">
            <w:pPr>
              <w:pStyle w:val="BodyText"/>
              <w:rPr>
                <w:lang w:val="en-NZ"/>
              </w:rPr>
            </w:pPr>
            <w:r w:rsidRPr="00A16627">
              <w:t xml:space="preserve">Elements describe the </w:t>
            </w:r>
            <w:r w:rsidRPr="00A16627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27">
            <w:pPr>
              <w:pStyle w:val="BodyText"/>
              <w:rPr>
                <w:lang w:val="en-NZ"/>
              </w:rPr>
            </w:pPr>
            <w:r w:rsidRPr="00A16627">
              <w:t xml:space="preserve">Performance criteria describe the performance needed to </w:t>
            </w:r>
            <w:r w:rsidRPr="00A16627">
              <w:t>demonstrate achievement of the element.</w:t>
            </w:r>
          </w:p>
        </w:tc>
      </w:tr>
      <w:tr w:rsidTr="008E1EA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27">
            <w:pPr>
              <w:pStyle w:val="List"/>
              <w:rPr>
                <w:lang w:val="en-NZ"/>
              </w:rPr>
            </w:pPr>
            <w:r w:rsidRPr="00A16627">
              <w:t>1.</w:t>
            </w:r>
            <w:r w:rsidRPr="00A16627">
              <w:tab/>
              <w:t>Cut hocks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627" w:rsidP="00A16627">
            <w:pPr>
              <w:pStyle w:val="List"/>
            </w:pPr>
            <w:r w:rsidRPr="00A16627">
              <w:t>1.1</w:t>
            </w:r>
            <w:r w:rsidRPr="00A16627">
              <w:tab/>
              <w:t>Cut hock according to work instructions</w:t>
            </w:r>
          </w:p>
          <w:p w:rsidR="00000000" w:rsidRPr="00A16627" w:rsidP="00A16627">
            <w:pPr>
              <w:pStyle w:val="List"/>
            </w:pPr>
            <w:r w:rsidRPr="00A16627">
              <w:t>1.2</w:t>
            </w:r>
            <w:r w:rsidRPr="00A16627">
              <w:tab/>
            </w:r>
            <w:r w:rsidRPr="00A16627">
              <w:t>Cut hock according to Quality Assurance (QA) requirements</w:t>
            </w:r>
          </w:p>
          <w:p w:rsidR="00000000" w:rsidRPr="00A16627" w:rsidP="00A16627">
            <w:pPr>
              <w:pStyle w:val="List"/>
            </w:pPr>
            <w:r w:rsidRPr="00A16627">
              <w:t>1.3</w:t>
            </w:r>
            <w:r w:rsidRPr="00A16627">
              <w:tab/>
              <w:t>Dispose of off-cuts in accordance with workplace requirements</w:t>
            </w:r>
          </w:p>
          <w:p w:rsidR="00000000" w:rsidRPr="00A16627" w:rsidP="00A16627">
            <w:pPr>
              <w:pStyle w:val="List"/>
            </w:pPr>
            <w:r w:rsidRPr="00A16627">
              <w:t>1.4</w:t>
            </w:r>
            <w:r w:rsidRPr="00A16627">
              <w:tab/>
              <w:t>Operate hock cutting equipment in accordance with workplace health and safety requirements and work instructions</w:t>
            </w:r>
          </w:p>
        </w:tc>
      </w:tr>
    </w:tbl>
    <w:p w:rsidR="00000000" w:rsidRPr="00A16627" w:rsidP="00A16627">
      <w:pPr>
        <w:pStyle w:val="BodyText"/>
      </w:pPr>
    </w:p>
    <w:p w:rsidR="00000000" w:rsidRPr="00A16627" w:rsidP="00A16627">
      <w:pPr>
        <w:pStyle w:val="AllowPageBreak"/>
      </w:pPr>
    </w:p>
    <w:p w:rsidR="00000000" w:rsidRPr="00A16627" w:rsidP="00A16627">
      <w:pPr>
        <w:pStyle w:val="Heading1"/>
      </w:pPr>
      <w:bookmarkStart w:id="6" w:name="O_887842"/>
      <w:bookmarkEnd w:id="6"/>
      <w:r w:rsidRPr="00A16627">
        <w:t>Foundation Skills</w:t>
      </w:r>
    </w:p>
    <w:p w:rsidR="00000000" w:rsidRPr="00A16627" w:rsidP="008E1EAD">
      <w:pPr>
        <w:pStyle w:val="BodyText"/>
      </w:pPr>
      <w:r w:rsidRPr="00A16627">
        <w:t>Foundation Skills essential to performance are explicit in the performance criteria of this unit of competency.</w:t>
      </w:r>
    </w:p>
    <w:p w:rsidR="00000000" w:rsidRPr="00A16627" w:rsidP="00A16627">
      <w:pPr>
        <w:pStyle w:val="Heading1"/>
      </w:pPr>
      <w:bookmarkStart w:id="7" w:name="O_887843"/>
      <w:bookmarkEnd w:id="7"/>
      <w:r w:rsidRPr="00A16627">
        <w:t>Range of Conditions</w:t>
      </w:r>
    </w:p>
    <w:p w:rsidR="00000000" w:rsidRPr="00A16627" w:rsidP="00A16627">
      <w:pPr>
        <w:pStyle w:val="Heading1"/>
      </w:pPr>
      <w:bookmarkStart w:id="8" w:name="O_887844"/>
      <w:bookmarkEnd w:id="8"/>
      <w:r w:rsidRPr="00A16627">
        <w:t>Unit Mapping Information</w:t>
      </w:r>
    </w:p>
    <w:p w:rsidR="00000000" w:rsidRPr="00A16627" w:rsidP="008E1EAD">
      <w:pPr>
        <w:pStyle w:val="BodyText"/>
      </w:pPr>
      <w:r w:rsidRPr="00A16627">
        <w:t>This unit is equivalent to MTMP2015C Cut</w:t>
      </w:r>
      <w:r w:rsidRPr="00A16627">
        <w:t xml:space="preserve"> hocks.</w:t>
      </w:r>
    </w:p>
    <w:p w:rsidR="00000000" w:rsidRPr="00A16627" w:rsidP="00A16627">
      <w:pPr>
        <w:pStyle w:val="Heading1"/>
      </w:pPr>
      <w:bookmarkStart w:id="9" w:name="O_887851"/>
      <w:bookmarkEnd w:id="9"/>
      <w:r w:rsidRPr="00A16627">
        <w:t>Links</w:t>
      </w:r>
    </w:p>
    <w:p w:rsidR="00000000" w:rsidRPr="00A16627" w:rsidP="008E1EAD">
      <w:pPr>
        <w:pStyle w:val="BodyText"/>
      </w:pPr>
      <w:r w:rsidRPr="00A166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D0DC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16627" w:rsidP="008E1EAD">
      <w:pPr>
        <w:pStyle w:val="BodyText"/>
        <w:sectPr w:rsidSect="00A166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6627" w:rsidP="00A16627">
      <w:pPr>
        <w:pStyle w:val="SuperHeading"/>
      </w:pPr>
      <w:r w:rsidRPr="00A16627">
        <w:t>Assessment Requirements for AMPA</w:t>
      </w:r>
      <w:r w:rsidRPr="00A16627">
        <w:t>2011 Cut hocks</w:t>
      </w:r>
    </w:p>
    <w:p w:rsidR="00000000" w:rsidRPr="00A16627" w:rsidP="00A16627">
      <w:pPr>
        <w:pStyle w:val="Heading1"/>
      </w:pPr>
      <w:bookmarkStart w:id="10" w:name="O_887846"/>
      <w:bookmarkEnd w:id="10"/>
      <w:r w:rsidRPr="00A166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1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27">
            <w:pPr>
              <w:pStyle w:val="TableHeading"/>
              <w:rPr>
                <w:lang w:val="en-NZ"/>
              </w:rPr>
            </w:pPr>
            <w:r w:rsidRPr="00A1662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27">
            <w:pPr>
              <w:pStyle w:val="TableHeading"/>
              <w:rPr>
                <w:lang w:val="en-NZ"/>
              </w:rPr>
            </w:pPr>
            <w:r w:rsidRPr="00A1662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27">
            <w:pPr>
              <w:pStyle w:val="TableHeading"/>
              <w:rPr>
                <w:lang w:val="en-NZ"/>
              </w:rPr>
            </w:pPr>
            <w:r w:rsidRPr="00A16627">
              <w:t>Comment</w:t>
            </w:r>
          </w:p>
        </w:tc>
      </w:tr>
      <w:tr w:rsidTr="00A1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27">
            <w:pPr>
              <w:pStyle w:val="BodyText"/>
              <w:rPr>
                <w:lang w:val="en-NZ"/>
              </w:rPr>
            </w:pPr>
            <w:r w:rsidRPr="00A1662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27">
            <w:pPr>
              <w:pStyle w:val="BodyText"/>
              <w:rPr>
                <w:lang w:val="en-NZ"/>
              </w:rPr>
            </w:pPr>
            <w:r w:rsidRPr="00A1662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627" w:rsidP="00A16627">
            <w:pPr>
              <w:pStyle w:val="BodyText"/>
            </w:pPr>
            <w:r w:rsidRPr="00A16627">
              <w:t>Initial release</w:t>
            </w:r>
          </w:p>
        </w:tc>
      </w:tr>
    </w:tbl>
    <w:p w:rsidR="00000000" w:rsidRPr="00A16627" w:rsidP="00A16627">
      <w:pPr>
        <w:pStyle w:val="BodyText"/>
      </w:pPr>
    </w:p>
    <w:p w:rsidR="00000000" w:rsidRPr="00A16627" w:rsidP="00A16627">
      <w:pPr>
        <w:pStyle w:val="AllowPageBreak"/>
      </w:pPr>
    </w:p>
    <w:p w:rsidR="00000000" w:rsidRPr="00A16627" w:rsidP="00A16627">
      <w:pPr>
        <w:pStyle w:val="Heading1"/>
      </w:pPr>
      <w:bookmarkStart w:id="11" w:name="O_887847"/>
      <w:bookmarkEnd w:id="11"/>
      <w:r w:rsidRPr="00A16627">
        <w:t>Performance Evidence</w:t>
      </w:r>
    </w:p>
    <w:p w:rsidR="00000000" w:rsidRPr="00A16627" w:rsidP="008E1EAD">
      <w:pPr>
        <w:pStyle w:val="BodyText"/>
      </w:pPr>
      <w:r w:rsidRPr="00A16627">
        <w:t>The candidate must cut off front legs, back legs or dew claws manually and with the aid of mechanical cutters.</w:t>
      </w:r>
    </w:p>
    <w:p w:rsidR="00000000" w:rsidRPr="00A16627" w:rsidP="008E1EAD">
      <w:pPr>
        <w:pStyle w:val="BodyText"/>
      </w:pPr>
      <w:r w:rsidRPr="00A16627">
        <w:t xml:space="preserve">The candidate must: </w:t>
      </w:r>
    </w:p>
    <w:p w:rsidR="00000000" w:rsidRPr="00A16627" w:rsidP="00A16627">
      <w:pPr>
        <w:pStyle w:val="ListBullet"/>
      </w:pPr>
      <w:r w:rsidRPr="00A16627">
        <w:t>demonstrate safe and hygienic use of tools and equipment</w:t>
      </w:r>
    </w:p>
    <w:p w:rsidR="00000000" w:rsidRPr="00A16627" w:rsidP="00A16627">
      <w:pPr>
        <w:pStyle w:val="ListBullet"/>
      </w:pPr>
      <w:r w:rsidRPr="00A16627">
        <w:t>dispose of off-cuts in accordance with work instructions</w:t>
      </w:r>
    </w:p>
    <w:p w:rsidR="00000000" w:rsidRPr="00A16627" w:rsidP="00A16627">
      <w:pPr>
        <w:pStyle w:val="ListBullet"/>
      </w:pPr>
      <w:r w:rsidRPr="00A16627">
        <w:t>recognise and report equipment difficulties</w:t>
      </w:r>
    </w:p>
    <w:p w:rsidR="00000000" w:rsidRPr="00A16627" w:rsidP="00A16627">
      <w:pPr>
        <w:pStyle w:val="ListBullet"/>
      </w:pPr>
      <w:r w:rsidRPr="00A16627">
        <w:t>keep work area neat and tidy</w:t>
      </w:r>
    </w:p>
    <w:p w:rsidR="00000000" w:rsidRPr="00A16627" w:rsidP="00A16627">
      <w:pPr>
        <w:pStyle w:val="ListBullet"/>
      </w:pPr>
      <w:r w:rsidRPr="00A16627">
        <w:t>apply communication skills relevant to work instructions and Standard Operating Procedures (SOPs)</w:t>
      </w:r>
    </w:p>
    <w:p w:rsidR="00000000" w:rsidRPr="00A16627" w:rsidP="00A16627">
      <w:pPr>
        <w:pStyle w:val="ListBullet"/>
      </w:pPr>
      <w:r w:rsidRPr="00A16627">
        <w:t>apply relevant regulatory requirements</w:t>
      </w:r>
    </w:p>
    <w:p w:rsidR="00000000" w:rsidRPr="00A16627" w:rsidP="00A16627">
      <w:pPr>
        <w:pStyle w:val="AllowPageBreak"/>
      </w:pPr>
    </w:p>
    <w:p w:rsidR="00000000" w:rsidRPr="00A16627" w:rsidP="00A16627">
      <w:pPr>
        <w:pStyle w:val="Heading1"/>
      </w:pPr>
      <w:bookmarkStart w:id="12" w:name="O_887848"/>
      <w:bookmarkEnd w:id="12"/>
      <w:r w:rsidRPr="00A16627">
        <w:t>Knowledge Evidence</w:t>
      </w:r>
    </w:p>
    <w:p w:rsidR="00000000" w:rsidRPr="00A16627" w:rsidP="008E1EAD">
      <w:pPr>
        <w:pStyle w:val="BodyText"/>
      </w:pPr>
      <w:r w:rsidRPr="00A16627">
        <w:t xml:space="preserve">The candidate must demonstrate a basic factual, technical and procedural knowledge </w:t>
      </w:r>
      <w:r w:rsidRPr="00A16627">
        <w:t xml:space="preserve">of: </w:t>
      </w:r>
    </w:p>
    <w:p w:rsidR="00000000" w:rsidRPr="00A16627" w:rsidP="00A16627">
      <w:pPr>
        <w:pStyle w:val="ListBullet"/>
      </w:pPr>
      <w:r w:rsidRPr="00A16627">
        <w:t>potential contamination and cross-contamination</w:t>
      </w:r>
    </w:p>
    <w:p w:rsidR="00000000" w:rsidRPr="00A16627" w:rsidP="00A16627">
      <w:pPr>
        <w:pStyle w:val="ListBullet"/>
      </w:pPr>
      <w:r w:rsidRPr="00A16627">
        <w:t>relevant work instructions</w:t>
      </w:r>
    </w:p>
    <w:p w:rsidR="00000000" w:rsidRPr="00A16627" w:rsidP="00A16627">
      <w:pPr>
        <w:pStyle w:val="ListBullet"/>
      </w:pPr>
      <w:r w:rsidRPr="00A16627">
        <w:t>relevant regulatory requirements</w:t>
      </w:r>
    </w:p>
    <w:p w:rsidR="00000000" w:rsidRPr="00A16627" w:rsidP="00A16627">
      <w:pPr>
        <w:pStyle w:val="ListBullet"/>
      </w:pPr>
      <w:r w:rsidRPr="00A16627">
        <w:t>the basic anatomy of legs from relevant joints</w:t>
      </w:r>
    </w:p>
    <w:p w:rsidR="00000000" w:rsidRPr="00A16627" w:rsidP="00A16627">
      <w:pPr>
        <w:pStyle w:val="AllowPageBreak"/>
      </w:pPr>
    </w:p>
    <w:p w:rsidR="00000000" w:rsidRPr="00A16627" w:rsidP="00A16627">
      <w:pPr>
        <w:pStyle w:val="Heading1"/>
      </w:pPr>
      <w:bookmarkStart w:id="13" w:name="O_887849"/>
      <w:bookmarkEnd w:id="13"/>
      <w:r w:rsidRPr="00A16627">
        <w:t>Assessment Conditions</w:t>
      </w:r>
    </w:p>
    <w:p w:rsidR="00000000" w:rsidRPr="00A16627" w:rsidP="008E1EAD">
      <w:pPr>
        <w:pStyle w:val="BodyText"/>
      </w:pPr>
      <w:r w:rsidRPr="00A16627">
        <w:t>Assessment must be conducted in the workplace under norm</w:t>
      </w:r>
      <w:r w:rsidRPr="00A16627">
        <w:t>al production conditions.</w:t>
      </w:r>
    </w:p>
    <w:p w:rsidR="00000000" w:rsidRPr="00A16627" w:rsidP="008E1EAD">
      <w:pPr>
        <w:pStyle w:val="BodyText"/>
      </w:pPr>
      <w:r w:rsidRPr="00A16627">
        <w:t>Competency must be demonstrated at the normal chain speed.</w:t>
      </w:r>
    </w:p>
    <w:p w:rsidR="00000000" w:rsidRPr="00A16627" w:rsidP="008E1EAD">
      <w:pPr>
        <w:pStyle w:val="BodyText"/>
      </w:pPr>
      <w:r w:rsidRPr="00A16627">
        <w:t xml:space="preserve">As a minimum, the following three forms of assessment must be used: </w:t>
      </w:r>
    </w:p>
    <w:p w:rsidR="00000000" w:rsidRPr="00A16627" w:rsidP="00A16627">
      <w:pPr>
        <w:pStyle w:val="ListBullet"/>
      </w:pPr>
      <w:r w:rsidRPr="00A16627">
        <w:t>quiz of underpinning knowledge</w:t>
      </w:r>
    </w:p>
    <w:p w:rsidR="00000000" w:rsidRPr="00A16627" w:rsidP="00A16627">
      <w:pPr>
        <w:pStyle w:val="ListBullet"/>
      </w:pPr>
      <w:r w:rsidRPr="00A16627">
        <w:t xml:space="preserve">workplace demonstration </w:t>
      </w:r>
    </w:p>
    <w:p w:rsidR="00000000" w:rsidRPr="00A16627" w:rsidP="00A16627">
      <w:pPr>
        <w:pStyle w:val="ListBullet"/>
      </w:pPr>
      <w:r w:rsidRPr="00A16627">
        <w:t>workplace referee or third-party report of performance over time</w:t>
      </w:r>
    </w:p>
    <w:p w:rsidR="00000000" w:rsidRPr="00A16627" w:rsidP="00A16627">
      <w:pPr>
        <w:pStyle w:val="BodyText"/>
      </w:pPr>
    </w:p>
    <w:p w:rsidR="00000000" w:rsidRPr="00A16627" w:rsidP="008E1EAD">
      <w:pPr>
        <w:pStyle w:val="BodyText"/>
      </w:pPr>
      <w:r w:rsidRPr="00A16627">
        <w:t>Assessors must satisfy the current standards for RTOs.</w:t>
      </w:r>
    </w:p>
    <w:p w:rsidR="00000000" w:rsidRPr="00A16627" w:rsidP="00A16627">
      <w:pPr>
        <w:pStyle w:val="Heading1"/>
      </w:pPr>
      <w:bookmarkStart w:id="14" w:name="O_887852"/>
      <w:bookmarkEnd w:id="14"/>
      <w:r w:rsidRPr="00A16627">
        <w:t>Links</w:t>
      </w:r>
    </w:p>
    <w:p w:rsidR="00000000" w:rsidRPr="00A16627" w:rsidP="008E1EAD">
      <w:pPr>
        <w:pStyle w:val="BodyText"/>
      </w:pPr>
      <w:r w:rsidRPr="00A166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D0DC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16627" w:rsidP="00A16627"/>
    <w:sectPr w:rsidSect="00A166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27" w:rsidRPr="008E1EAD" w:rsidP="008E1E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EAD" w:rsidP="00A166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1EAD" w:rsidP="00A166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1EAD" w:rsidP="00A166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27" w:rsidP="00A166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1EAD">
      <w:t>Approved</w:t>
    </w:r>
    <w:r w:rsidR="008E1E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1E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1EAD">
      <w:rPr>
        <w:noProof/>
      </w:rPr>
      <w:t>4</w:t>
    </w:r>
    <w:r>
      <w:rPr>
        <w:noProof/>
      </w:rPr>
      <w:fldChar w:fldCharType="end"/>
    </w:r>
  </w:p>
  <w:p w:rsidR="00A16627" w:rsidP="00A166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1E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1EAD">
      <w:t>Skills Insight</w:t>
    </w:r>
    <w:r w:rsidR="008E1EAD">
      <w:fldChar w:fldCharType="end"/>
    </w:r>
  </w:p>
  <w:p w:rsidR="00A16627" w:rsidP="00A166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E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627" w:rsidRPr="008E1EAD" w:rsidP="008E1E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EAD" w:rsidRPr="002D2AF8" w:rsidP="00A166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AMPA2011 Cut hocks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1EAD" w:rsidP="00A166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27" w:rsidRPr="002D2AF8" w:rsidP="00A166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1EAD">
      <w:t>AMPA2011 Cut hocks</w:t>
    </w:r>
    <w:r w:rsidR="008E1E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1EAD">
      <w:rPr>
        <w:noProof/>
      </w:rPr>
      <w:t>2 March 2025</w:t>
    </w:r>
    <w:r>
      <w:fldChar w:fldCharType="end"/>
    </w:r>
  </w:p>
  <w:p w:rsidR="00A16627" w:rsidP="00A166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125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D6C3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6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66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66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66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66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66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66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66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66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66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66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6627"/>
  </w:style>
  <w:style w:type="character" w:customStyle="1" w:styleId="Heading1Char">
    <w:name w:val="Heading 1 Char"/>
    <w:basedOn w:val="DefaultParagraphFont"/>
    <w:link w:val="Heading1"/>
    <w:rsid w:val="00A166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662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166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66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66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662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166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1662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166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66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66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6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6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6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6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66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66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66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66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66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66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66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66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66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66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66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66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6627"/>
    <w:rPr>
      <w:b/>
      <w:spacing w:val="0"/>
    </w:rPr>
  </w:style>
  <w:style w:type="paragraph" w:customStyle="1" w:styleId="SuperTitle">
    <w:name w:val="SuperTitle"/>
    <w:basedOn w:val="Title"/>
    <w:rsid w:val="00A166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66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66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66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66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66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66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66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66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66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66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66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66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6627"/>
    <w:rPr>
      <w:i/>
    </w:rPr>
  </w:style>
  <w:style w:type="paragraph" w:styleId="Caption">
    <w:name w:val="caption"/>
    <w:basedOn w:val="BodyText"/>
    <w:next w:val="Normal"/>
    <w:qFormat/>
    <w:rsid w:val="00A166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66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66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6627"/>
  </w:style>
  <w:style w:type="paragraph" w:styleId="TableofFigures">
    <w:name w:val="table of figures"/>
    <w:basedOn w:val="Normal"/>
    <w:next w:val="Normal"/>
    <w:semiHidden/>
    <w:rsid w:val="00A166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66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6627"/>
    <w:rPr>
      <w:rFonts w:ascii="Wingdings" w:hAnsi="Wingdings"/>
    </w:rPr>
  </w:style>
  <w:style w:type="character" w:customStyle="1" w:styleId="HotSpot">
    <w:name w:val="HotSpot"/>
    <w:rsid w:val="00A16627"/>
    <w:rPr>
      <w:color w:val="0033CC"/>
      <w:u w:val="none"/>
    </w:rPr>
  </w:style>
  <w:style w:type="paragraph" w:customStyle="1" w:styleId="BodyTextRight">
    <w:name w:val="Body Text Right"/>
    <w:basedOn w:val="BodyText"/>
    <w:rsid w:val="00A166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66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66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66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66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66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6627"/>
    <w:rPr>
      <w:sz w:val="32"/>
    </w:rPr>
  </w:style>
  <w:style w:type="paragraph" w:customStyle="1" w:styleId="HeadingProcedure">
    <w:name w:val="Heading Procedure"/>
    <w:basedOn w:val="HeadingBase"/>
    <w:next w:val="Normal"/>
    <w:rsid w:val="00A166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6627"/>
    <w:pPr>
      <w:spacing w:before="60" w:after="60"/>
    </w:pPr>
  </w:style>
  <w:style w:type="paragraph" w:styleId="ListContinue">
    <w:name w:val="List Continue"/>
    <w:basedOn w:val="List"/>
    <w:rsid w:val="00A16627"/>
    <w:pPr>
      <w:ind w:firstLine="0"/>
    </w:pPr>
  </w:style>
  <w:style w:type="paragraph" w:customStyle="1" w:styleId="ListNote">
    <w:name w:val="List Note"/>
    <w:basedOn w:val="List"/>
    <w:rsid w:val="00A166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66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66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6627"/>
    <w:rPr>
      <w:rFonts w:ascii="Courier New" w:hAnsi="Courier New"/>
    </w:rPr>
  </w:style>
  <w:style w:type="paragraph" w:customStyle="1" w:styleId="NoteBullet">
    <w:name w:val="Note Bullet"/>
    <w:basedOn w:val="Note"/>
    <w:rsid w:val="00A166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66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66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66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66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66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66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6627"/>
    <w:rPr>
      <w:b/>
      <w:smallCaps/>
    </w:rPr>
  </w:style>
  <w:style w:type="paragraph" w:customStyle="1" w:styleId="TableListNumber">
    <w:name w:val="Table List Number"/>
    <w:basedOn w:val="ListNumber"/>
    <w:rsid w:val="00A166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66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6627"/>
    <w:pPr>
      <w:numPr>
        <w:numId w:val="8"/>
      </w:numPr>
    </w:pPr>
  </w:style>
  <w:style w:type="paragraph" w:customStyle="1" w:styleId="ListAlpha2">
    <w:name w:val="List Alpha 2"/>
    <w:basedOn w:val="List2"/>
    <w:rsid w:val="00A16627"/>
    <w:pPr>
      <w:numPr>
        <w:numId w:val="7"/>
      </w:numPr>
    </w:pPr>
  </w:style>
  <w:style w:type="paragraph" w:styleId="List2">
    <w:name w:val="List 2"/>
    <w:basedOn w:val="BodyText"/>
    <w:rsid w:val="00A166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66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66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66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66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66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6627"/>
    <w:pPr>
      <w:numPr>
        <w:numId w:val="3"/>
      </w:numPr>
    </w:pPr>
  </w:style>
  <w:style w:type="paragraph" w:styleId="ListContinue2">
    <w:name w:val="List Continue 2"/>
    <w:basedOn w:val="List2"/>
    <w:rsid w:val="00A16627"/>
    <w:pPr>
      <w:ind w:firstLine="0"/>
    </w:pPr>
  </w:style>
  <w:style w:type="paragraph" w:styleId="ListContinue3">
    <w:name w:val="List Continue 3"/>
    <w:basedOn w:val="List3"/>
    <w:rsid w:val="00A16627"/>
    <w:pPr>
      <w:ind w:left="1021" w:firstLine="0"/>
    </w:pPr>
  </w:style>
  <w:style w:type="paragraph" w:styleId="ListContinue4">
    <w:name w:val="List Continue 4"/>
    <w:basedOn w:val="List4"/>
    <w:rsid w:val="00A16627"/>
    <w:pPr>
      <w:ind w:firstLine="0"/>
    </w:pPr>
  </w:style>
  <w:style w:type="paragraph" w:styleId="ListContinue5">
    <w:name w:val="List Continue 5"/>
    <w:basedOn w:val="List5"/>
    <w:rsid w:val="00A16627"/>
    <w:pPr>
      <w:ind w:firstLine="0"/>
    </w:pPr>
  </w:style>
  <w:style w:type="paragraph" w:styleId="ListNumber3">
    <w:name w:val="List Number 3"/>
    <w:basedOn w:val="List3"/>
    <w:rsid w:val="00A16627"/>
    <w:pPr>
      <w:numPr>
        <w:numId w:val="4"/>
      </w:numPr>
    </w:pPr>
  </w:style>
  <w:style w:type="paragraph" w:styleId="ListNumber4">
    <w:name w:val="List Number 4"/>
    <w:basedOn w:val="List4"/>
    <w:rsid w:val="00A16627"/>
    <w:pPr>
      <w:numPr>
        <w:numId w:val="5"/>
      </w:numPr>
    </w:pPr>
  </w:style>
  <w:style w:type="paragraph" w:styleId="ListNumber5">
    <w:name w:val="List Number 5"/>
    <w:basedOn w:val="List5"/>
    <w:rsid w:val="00A16627"/>
    <w:pPr>
      <w:numPr>
        <w:numId w:val="6"/>
      </w:numPr>
    </w:pPr>
  </w:style>
  <w:style w:type="paragraph" w:styleId="BlockText">
    <w:name w:val="Block Text"/>
    <w:basedOn w:val="Normal"/>
    <w:rsid w:val="00A166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66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6627"/>
    <w:rPr>
      <w:sz w:val="16"/>
      <w:vertAlign w:val="superscript"/>
    </w:rPr>
  </w:style>
  <w:style w:type="character" w:customStyle="1" w:styleId="Symbols">
    <w:name w:val="Symbols"/>
    <w:basedOn w:val="DefaultParagraphFont"/>
    <w:rsid w:val="00A16627"/>
    <w:rPr>
      <w:rFonts w:ascii="Symbol" w:hAnsi="Symbol"/>
    </w:rPr>
  </w:style>
  <w:style w:type="character" w:customStyle="1" w:styleId="MenuOptions">
    <w:name w:val="Menu Options"/>
    <w:basedOn w:val="DefaultParagraphFont"/>
    <w:rsid w:val="00A166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6627"/>
    <w:rPr>
      <w:b/>
    </w:rPr>
  </w:style>
  <w:style w:type="character" w:customStyle="1" w:styleId="Underlined">
    <w:name w:val="Underlined"/>
    <w:basedOn w:val="DefaultParagraphFont"/>
    <w:rsid w:val="00A16627"/>
    <w:rPr>
      <w:u w:val="single"/>
    </w:rPr>
  </w:style>
  <w:style w:type="paragraph" w:customStyle="1" w:styleId="TableBodyTextRight">
    <w:name w:val="Table Body Text Right"/>
    <w:basedOn w:val="TableBodyText"/>
    <w:rsid w:val="00A166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6627"/>
    <w:rPr>
      <w:sz w:val="18"/>
    </w:rPr>
  </w:style>
  <w:style w:type="paragraph" w:customStyle="1" w:styleId="BodySmallRight">
    <w:name w:val="Body Small Right"/>
    <w:basedOn w:val="BodyTextRight"/>
    <w:rsid w:val="00A16627"/>
    <w:rPr>
      <w:sz w:val="18"/>
      <w:szCs w:val="18"/>
    </w:rPr>
  </w:style>
  <w:style w:type="paragraph" w:customStyle="1" w:styleId="MarginEdition">
    <w:name w:val="Margin Edition"/>
    <w:basedOn w:val="MarginNote"/>
    <w:rsid w:val="00A166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6627"/>
    <w:rPr>
      <w:sz w:val="2"/>
      <w:szCs w:val="2"/>
    </w:rPr>
  </w:style>
  <w:style w:type="character" w:customStyle="1" w:styleId="Small">
    <w:name w:val="Small"/>
    <w:basedOn w:val="DefaultParagraphFont"/>
    <w:rsid w:val="00A16627"/>
    <w:rPr>
      <w:sz w:val="16"/>
    </w:rPr>
  </w:style>
  <w:style w:type="paragraph" w:customStyle="1" w:styleId="WideTable">
    <w:name w:val="Wide Table"/>
    <w:basedOn w:val="Normal"/>
    <w:rsid w:val="00A166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6627"/>
  </w:style>
  <w:style w:type="paragraph" w:styleId="Quote">
    <w:name w:val="Quote"/>
    <w:basedOn w:val="Heading1"/>
    <w:link w:val="QuoteChar"/>
    <w:qFormat/>
    <w:rsid w:val="00A166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66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6627"/>
    <w:pPr>
      <w:pageBreakBefore/>
    </w:pPr>
  </w:style>
  <w:style w:type="paragraph" w:customStyle="1" w:styleId="Border">
    <w:name w:val="Border"/>
    <w:basedOn w:val="Normal"/>
    <w:qFormat/>
    <w:rsid w:val="00A166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66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6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6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66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66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66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66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66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6627"/>
    <w:rPr>
      <w:u w:val="single"/>
    </w:rPr>
  </w:style>
  <w:style w:type="character" w:customStyle="1" w:styleId="BoldandItalics">
    <w:name w:val="Bold and Italics"/>
    <w:qFormat/>
    <w:rsid w:val="00A16627"/>
    <w:rPr>
      <w:b/>
      <w:i/>
      <w:u w:val="none"/>
    </w:rPr>
  </w:style>
  <w:style w:type="paragraph" w:styleId="BalloonText">
    <w:name w:val="Balloon Text"/>
    <w:basedOn w:val="Normal"/>
    <w:link w:val="BalloonTextChar"/>
    <w:rsid w:val="00A166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66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66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66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66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66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6627"/>
    <w:pPr>
      <w:spacing w:before="0" w:after="0"/>
    </w:pPr>
  </w:style>
  <w:style w:type="paragraph" w:customStyle="1" w:styleId="BodyTextBold">
    <w:name w:val="Body Text Bold"/>
    <w:basedOn w:val="BodyText"/>
    <w:qFormat/>
    <w:rsid w:val="00A16627"/>
    <w:rPr>
      <w:b/>
    </w:rPr>
  </w:style>
  <w:style w:type="character" w:styleId="Hyperlink">
    <w:name w:val="Hyperlink"/>
    <w:basedOn w:val="DefaultParagraphFont"/>
    <w:uiPriority w:val="99"/>
    <w:unhideWhenUsed/>
    <w:rsid w:val="008E1E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481</Words>
  <Characters>3064</Characters>
  <Application>Microsoft Office Word</Application>
  <DocSecurity>0</DocSecurity>
  <Lines>117</Lines>
  <Paragraphs>86</Paragraphs>
  <ScaleCrop>false</ScaleCrop>
  <Company>Author-it Software Corporation Ltd.</Company>
  <LinksUpToDate>false</LinksUpToDate>
  <CharactersWithSpaces>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AMPA2011 Cut hocks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2025-03-01T15:14:00Z</dcterms:created>
  <dcterms:modified xsi:type="dcterms:W3CDTF">2025-03-01T15:14:00Z</dcterms:modified>
</cp:coreProperties>
</file>