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243" w:rsidP="005F1243">
      <w:pPr>
        <w:pStyle w:val="Title"/>
      </w:pPr>
      <w:bookmarkStart w:id="0" w:name="_GoBack"/>
      <w:bookmarkEnd w:id="0"/>
      <w:r>
        <w:fldChar w:fldCharType="begin"/>
      </w:r>
      <w:r>
        <w:instrText xml:space="preserve"> TITLE   \* MERGEFORMAT </w:instrText>
      </w:r>
      <w:r>
        <w:fldChar w:fldCharType="separate"/>
      </w:r>
      <w:r>
        <w:t>AHCSDT409A Perform a tetrazolium seed viability test</w:t>
      </w:r>
      <w:r>
        <w:fldChar w:fldCharType="end"/>
      </w:r>
    </w:p>
    <w:p w:rsidR="005F1243" w:rsidP="005F1243">
      <w:pPr>
        <w:pStyle w:val="Version"/>
        <w:sectPr w:rsidSect="00EA5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5EB" w:rsidP="00EA55EB">
      <w:pPr>
        <w:pStyle w:val="SuperHeading"/>
      </w:pPr>
      <w:r w:rsidRPr="00EA55EB">
        <w:t>AHCSDT409A Perform a tetrazolium seed viability test</w:t>
      </w:r>
    </w:p>
    <w:p w:rsidR="00000000" w:rsidRPr="00EA55EB" w:rsidP="00EA55EB">
      <w:pPr>
        <w:pStyle w:val="Heading1"/>
      </w:pPr>
      <w:bookmarkStart w:id="1" w:name="O_469565"/>
      <w:bookmarkEnd w:id="1"/>
      <w:r w:rsidRPr="00EA55EB">
        <w:t>Modification History</w:t>
      </w:r>
    </w:p>
    <w:tbl>
      <w:tblPr>
        <w:tblW w:w="0" w:type="auto"/>
        <w:tblLayout w:type="fixed"/>
        <w:tblCellMar>
          <w:left w:w="62" w:type="dxa"/>
          <w:right w:w="62" w:type="dxa"/>
        </w:tblCellMar>
        <w:tblLook w:val="0000"/>
      </w:tblPr>
      <w:tblGrid>
        <w:gridCol w:w="1803"/>
        <w:gridCol w:w="2247"/>
        <w:gridCol w:w="5084"/>
      </w:tblGrid>
      <w:tr w:rsidTr="005F124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BodyText"/>
            </w:pPr>
            <w:r w:rsidRPr="00EA55E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BodyText"/>
            </w:pPr>
            <w:r w:rsidRPr="00EA55E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rPr>
                <w:rStyle w:val="SpecialBold"/>
              </w:rPr>
              <w:t>Comments</w:t>
            </w:r>
          </w:p>
        </w:tc>
      </w:tr>
      <w:tr w:rsidTr="005F12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BodyText"/>
            </w:pPr>
            <w:r w:rsidRPr="00EA55EB">
              <w:t>Initial release</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2" w:name="O_469566"/>
      <w:bookmarkEnd w:id="2"/>
      <w:r w:rsidRPr="00EA55EB">
        <w:t>Unit Descriptor</w:t>
      </w:r>
    </w:p>
    <w:p w:rsidR="00000000" w:rsidRPr="00EA55EB" w:rsidP="00EA55EB">
      <w:pPr>
        <w:pStyle w:val="BodyText"/>
      </w:pPr>
      <w:r w:rsidRPr="00EA55EB">
        <w:t>This Unit covers the process of staining seeds with a tetrazolium solution to assess seed viability or germination potential.</w:t>
      </w:r>
    </w:p>
    <w:p w:rsidR="00000000" w:rsidRPr="00EA55EB" w:rsidP="00EA55EB">
      <w:pPr>
        <w:pStyle w:val="AllowPageBreak"/>
      </w:pPr>
    </w:p>
    <w:p w:rsidR="00000000" w:rsidRPr="00EA55EB" w:rsidP="00EA55EB">
      <w:pPr>
        <w:pStyle w:val="Heading1"/>
      </w:pPr>
      <w:bookmarkStart w:id="3" w:name="O_469567"/>
      <w:bookmarkEnd w:id="3"/>
      <w:r w:rsidRPr="00EA55EB">
        <w:t>Application of the Unit</w:t>
      </w:r>
    </w:p>
    <w:p w:rsidR="00000000" w:rsidRPr="00EA55EB" w:rsidP="00EA55EB">
      <w:pPr>
        <w:pStyle w:val="BodyText"/>
      </w:pPr>
      <w:r w:rsidRPr="00EA55EB">
        <w:t>This Unit applies to senior seed analysts working within enterprise guide</w:t>
      </w:r>
      <w:r w:rsidRPr="00EA55EB">
        <w:t>lines. In general, they oversee the preparation of samples for testing; conduct and supervise specified tests in accordance with enterprise requirements; interpret and report results; maintain record-keeping systems; and have responsibility for overall lab</w:t>
      </w:r>
      <w:r w:rsidRPr="00EA55EB">
        <w:t>oratory operations, the supervision of staff, and implementation of quality assurance procedures.</w:t>
      </w:r>
    </w:p>
    <w:p w:rsidR="00000000" w:rsidRPr="00EA55EB" w:rsidP="00EA55EB">
      <w:pPr>
        <w:pStyle w:val="AllowPageBreak"/>
      </w:pPr>
    </w:p>
    <w:p w:rsidR="00000000" w:rsidRPr="00EA55EB" w:rsidP="00EA55EB">
      <w:pPr>
        <w:pStyle w:val="Heading1"/>
      </w:pPr>
      <w:bookmarkStart w:id="4" w:name="O_469568"/>
      <w:bookmarkEnd w:id="4"/>
      <w:r w:rsidRPr="00EA55EB">
        <w:t>Licensing/Regulatory Information</w:t>
      </w:r>
    </w:p>
    <w:p w:rsidR="00000000" w:rsidRPr="00EA55EB" w:rsidP="00EA55EB">
      <w:pPr>
        <w:pStyle w:val="BodyText"/>
      </w:pPr>
      <w:r w:rsidRPr="00EA55EB">
        <w:t>Not applicable.</w:t>
      </w:r>
    </w:p>
    <w:p w:rsidR="00000000" w:rsidRPr="00EA55EB" w:rsidP="00EA55EB">
      <w:pPr>
        <w:pStyle w:val="AllowPageBreak"/>
      </w:pPr>
    </w:p>
    <w:p w:rsidR="00000000" w:rsidRPr="00EA55EB" w:rsidP="00EA55EB">
      <w:pPr>
        <w:pStyle w:val="Heading1"/>
      </w:pPr>
      <w:bookmarkStart w:id="5" w:name="O_469569"/>
      <w:bookmarkEnd w:id="5"/>
      <w:r w:rsidRPr="00EA55EB">
        <w:t>Pre-Requisites</w:t>
      </w:r>
    </w:p>
    <w:p w:rsidR="00000000" w:rsidRPr="00EA55EB" w:rsidP="00EA55EB">
      <w:pPr>
        <w:pStyle w:val="BodyText"/>
      </w:pPr>
      <w:r w:rsidRPr="00EA55EB">
        <w:t>Nil.</w:t>
      </w:r>
    </w:p>
    <w:p w:rsidR="00000000" w:rsidRPr="00EA55EB" w:rsidP="00EA55EB">
      <w:pPr>
        <w:pStyle w:val="AllowPageBreak"/>
      </w:pPr>
    </w:p>
    <w:p w:rsidR="00000000" w:rsidRPr="00EA55EB" w:rsidP="00EA55EB">
      <w:pPr>
        <w:pStyle w:val="Heading1"/>
      </w:pPr>
      <w:bookmarkStart w:id="6" w:name="O_469570"/>
      <w:bookmarkEnd w:id="6"/>
      <w:r w:rsidRPr="00EA55EB">
        <w:t>Employability Skills Information</w:t>
      </w:r>
    </w:p>
    <w:p w:rsidR="00000000" w:rsidRPr="00EA55EB" w:rsidP="00EA55EB">
      <w:pPr>
        <w:pStyle w:val="BodyText"/>
      </w:pPr>
      <w:r w:rsidRPr="00EA55EB">
        <w:t xml:space="preserve">This </w:t>
      </w:r>
      <w:r w:rsidRPr="00EA55EB">
        <w:t>Unit contains employability skills.</w:t>
      </w:r>
    </w:p>
    <w:p w:rsidR="00000000" w:rsidRPr="00EA55EB" w:rsidP="00EA55EB">
      <w:pPr>
        <w:pStyle w:val="AllowPageBreak"/>
      </w:pPr>
    </w:p>
    <w:p w:rsidR="00000000" w:rsidRPr="00EA55EB" w:rsidP="00EA55EB">
      <w:pPr>
        <w:pStyle w:val="Heading1"/>
      </w:pPr>
      <w:bookmarkStart w:id="7" w:name="O_469571"/>
      <w:bookmarkEnd w:id="7"/>
      <w:r w:rsidRPr="00EA55EB">
        <w:t>Elements and Performance Criteria Pre-Content</w:t>
      </w:r>
    </w:p>
    <w:tbl>
      <w:tblPr>
        <w:tblW w:w="0" w:type="auto"/>
        <w:tblLayout w:type="fixed"/>
        <w:tblCellMar>
          <w:left w:w="62" w:type="dxa"/>
          <w:right w:w="62" w:type="dxa"/>
        </w:tblCellMar>
        <w:tblLook w:val="0000"/>
      </w:tblPr>
      <w:tblGrid>
        <w:gridCol w:w="2760"/>
        <w:gridCol w:w="6312"/>
      </w:tblGrid>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BodyText"/>
              <w:rPr>
                <w:lang w:val="en-NZ"/>
              </w:rPr>
            </w:pPr>
            <w:r w:rsidRPr="00EA55E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BodyText"/>
            </w:pPr>
            <w:r w:rsidRPr="00EA55EB">
              <w:t>Performance criteria describe the performance needed to demonstrate achievement of the elem</w:t>
            </w:r>
            <w:r w:rsidRPr="00EA55EB">
              <w:t>ent. Where bold italicised text is used, further information is detailed in the required skills and knowledge section and the range statement. Assessment of performance is to be consistent with the evidence guide.</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8" w:name="O_469572"/>
      <w:bookmarkEnd w:id="8"/>
      <w:r w:rsidRPr="00EA55EB">
        <w:t>Elements and Performance Criteria</w:t>
      </w:r>
    </w:p>
    <w:tbl>
      <w:tblPr>
        <w:tblW w:w="0" w:type="auto"/>
        <w:tblLayout w:type="fixed"/>
        <w:tblCellMar>
          <w:left w:w="62" w:type="dxa"/>
          <w:right w:w="62" w:type="dxa"/>
        </w:tblCellMar>
        <w:tblLook w:val="0000"/>
      </w:tblPr>
      <w:tblGrid>
        <w:gridCol w:w="2760"/>
        <w:gridCol w:w="6312"/>
      </w:tblGrid>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List"/>
              <w:rPr>
                <w:lang w:val="en-NZ"/>
              </w:rPr>
            </w:pPr>
            <w:r w:rsidRPr="00EA55EB">
              <w:t>1.</w:t>
            </w:r>
            <w:r w:rsidRPr="00EA55EB">
              <w:tab/>
              <w:t xml:space="preserve">Prepare </w:t>
            </w:r>
            <w:r w:rsidRPr="00EA55EB">
              <w:rPr>
                <w:rStyle w:val="BoldandItalics"/>
              </w:rPr>
              <w:t>replicates</w:t>
            </w:r>
            <w:r w:rsidRPr="00EA55EB">
              <w:t xml:space="preserve"> for testing</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List"/>
            </w:pPr>
            <w:r w:rsidRPr="00EA55EB">
              <w:t>1.1</w:t>
            </w:r>
            <w:r w:rsidRPr="00EA55EB">
              <w:tab/>
              <w:t xml:space="preserve">Pure </w:t>
            </w:r>
            <w:r w:rsidRPr="00EA55EB">
              <w:rPr>
                <w:rStyle w:val="BoldandItalics"/>
              </w:rPr>
              <w:t>Seed</w:t>
            </w:r>
            <w:r w:rsidRPr="00EA55EB">
              <w:t xml:space="preserve"> is mixed thoroughly to reduce bias in results.</w:t>
            </w:r>
          </w:p>
          <w:p w:rsidR="00000000" w:rsidRPr="00EA55EB" w:rsidP="00EA55EB">
            <w:pPr>
              <w:pStyle w:val="List"/>
            </w:pPr>
            <w:r w:rsidRPr="00EA55EB">
              <w:t>1.2</w:t>
            </w:r>
            <w:r w:rsidRPr="00EA55EB">
              <w:tab/>
              <w:t>Prescribed number of replicates are drawn from the Pure Seed fraction according to enterprise guidelines.</w:t>
            </w:r>
          </w:p>
          <w:p w:rsidR="00000000" w:rsidP="00EA55EB">
            <w:pPr>
              <w:pStyle w:val="List"/>
              <w:rPr>
                <w:lang w:val="en-NZ"/>
              </w:rPr>
            </w:pPr>
            <w:r w:rsidRPr="00EA55EB">
              <w:t>1.3</w:t>
            </w:r>
            <w:r w:rsidRPr="00EA55EB">
              <w:tab/>
              <w:t>Safe work pra</w:t>
            </w:r>
            <w:r w:rsidRPr="00EA55EB">
              <w:t>ctices and personal protective equipment are used to ensure personal safety and that of other laboratory personnel.</w:t>
            </w:r>
          </w:p>
        </w:tc>
      </w:tr>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List"/>
              <w:rPr>
                <w:lang w:val="en-NZ"/>
              </w:rPr>
            </w:pPr>
            <w:r w:rsidRPr="00EA55EB">
              <w:t>2.</w:t>
            </w:r>
            <w:r w:rsidRPr="00EA55EB">
              <w:tab/>
              <w:t>Pre-moisten replicates</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List"/>
            </w:pPr>
            <w:r w:rsidRPr="00EA55EB">
              <w:t>2.1</w:t>
            </w:r>
            <w:r w:rsidRPr="00EA55EB">
              <w:tab/>
              <w:t xml:space="preserve">Seed is </w:t>
            </w:r>
            <w:r w:rsidRPr="00EA55EB">
              <w:rPr>
                <w:rStyle w:val="BoldandItalics"/>
              </w:rPr>
              <w:t>pre-moistened</w:t>
            </w:r>
            <w:r w:rsidRPr="00EA55EB">
              <w:t xml:space="preserve"> to reduce possibility of injury to seeds when puncturing or cutting and to enable penet</w:t>
            </w:r>
            <w:r w:rsidRPr="00EA55EB">
              <w:t>ration of the tetrazolium solution under prescribed temperature and light conditions.</w:t>
            </w:r>
          </w:p>
          <w:p w:rsidR="00000000" w:rsidRPr="00EA55EB" w:rsidP="00EA55EB">
            <w:pPr>
              <w:pStyle w:val="List"/>
            </w:pPr>
            <w:r w:rsidRPr="00EA55EB">
              <w:t>2.2</w:t>
            </w:r>
            <w:r w:rsidRPr="00EA55EB">
              <w:tab/>
              <w:t>Sticky mucilage is removed from seeds as necessary.</w:t>
            </w:r>
          </w:p>
          <w:p w:rsidR="00000000" w:rsidRPr="00EA55EB" w:rsidP="00EA55EB">
            <w:pPr>
              <w:pStyle w:val="List"/>
            </w:pPr>
            <w:r w:rsidRPr="00EA55EB">
              <w:t>2.3</w:t>
            </w:r>
            <w:r w:rsidRPr="00EA55EB">
              <w:tab/>
              <w:t xml:space="preserve">Seed </w:t>
            </w:r>
            <w:r w:rsidRPr="00EA55EB">
              <w:rPr>
                <w:rStyle w:val="BoldandItalics"/>
              </w:rPr>
              <w:t>tissue is exposed</w:t>
            </w:r>
            <w:r w:rsidRPr="00EA55EB">
              <w:t xml:space="preserve"> prior to staining according to enterprise guidelines.</w:t>
            </w:r>
          </w:p>
          <w:p w:rsidR="00000000" w:rsidP="00EA55EB">
            <w:pPr>
              <w:pStyle w:val="List"/>
              <w:rPr>
                <w:lang w:val="en-NZ"/>
              </w:rPr>
            </w:pPr>
            <w:r w:rsidRPr="00EA55EB">
              <w:t>2.4</w:t>
            </w:r>
            <w:r w:rsidRPr="00EA55EB">
              <w:tab/>
              <w:t>Seeds are kept moist prior to</w:t>
            </w:r>
            <w:r w:rsidRPr="00EA55EB">
              <w:t xml:space="preserve"> testing.</w:t>
            </w:r>
          </w:p>
        </w:tc>
      </w:tr>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List"/>
              <w:rPr>
                <w:lang w:val="en-NZ"/>
              </w:rPr>
            </w:pPr>
            <w:r w:rsidRPr="00EA55EB">
              <w:t>3.</w:t>
            </w:r>
            <w:r w:rsidRPr="00EA55EB">
              <w:tab/>
              <w:t>Stain with tetrazolium solution</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List"/>
            </w:pPr>
            <w:r w:rsidRPr="00EA55EB">
              <w:t>3.1</w:t>
            </w:r>
            <w:r w:rsidRPr="00EA55EB">
              <w:tab/>
              <w:t>Seeds are completely immersed in tetrazolium solution according to enterprise guidelines.</w:t>
            </w:r>
          </w:p>
          <w:p w:rsidR="00000000" w:rsidRPr="00EA55EB" w:rsidP="00EA55EB">
            <w:pPr>
              <w:pStyle w:val="List"/>
            </w:pPr>
            <w:r w:rsidRPr="00EA55EB">
              <w:t>3.2</w:t>
            </w:r>
            <w:r w:rsidRPr="00EA55EB">
              <w:tab/>
              <w:t>Fungicides and/or antibiotics may be added to solution according to enterprise guidelines.</w:t>
            </w:r>
          </w:p>
          <w:p w:rsidR="00000000" w:rsidRPr="00EA55EB" w:rsidP="00EA55EB">
            <w:pPr>
              <w:pStyle w:val="List"/>
            </w:pPr>
            <w:r w:rsidRPr="00EA55EB">
              <w:t>3.3</w:t>
            </w:r>
            <w:r w:rsidRPr="00EA55EB">
              <w:tab/>
              <w:t xml:space="preserve">Low light levels </w:t>
            </w:r>
            <w:r w:rsidRPr="00EA55EB">
              <w:t>are maintained as required by testing procedures to facilitate staining.</w:t>
            </w:r>
          </w:p>
          <w:p w:rsidR="00000000" w:rsidP="00EA55EB">
            <w:pPr>
              <w:pStyle w:val="List"/>
              <w:rPr>
                <w:lang w:val="en-NZ"/>
              </w:rPr>
            </w:pPr>
            <w:r w:rsidRPr="00EA55EB">
              <w:t>3.4</w:t>
            </w:r>
            <w:r w:rsidRPr="00EA55EB">
              <w:tab/>
              <w:t>At completion of staining period, the solution is decanted and seeds are rinsed with water.</w:t>
            </w:r>
          </w:p>
        </w:tc>
      </w:tr>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List"/>
              <w:rPr>
                <w:lang w:val="en-NZ"/>
              </w:rPr>
            </w:pPr>
            <w:r w:rsidRPr="00EA55EB">
              <w:t>4.</w:t>
            </w:r>
            <w:r w:rsidRPr="00EA55EB">
              <w:tab/>
              <w:t>Evaluate test results</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List"/>
            </w:pPr>
            <w:r w:rsidRPr="00EA55EB">
              <w:t>4.1</w:t>
            </w:r>
            <w:r w:rsidRPr="00EA55EB">
              <w:tab/>
            </w:r>
            <w:r w:rsidRPr="00EA55EB">
              <w:t>Each seed is examined and evaluated as viable or non-viable based on staining patterns applicable to the species being tested.</w:t>
            </w:r>
          </w:p>
          <w:p w:rsidR="00000000" w:rsidRPr="00EA55EB" w:rsidP="00EA55EB">
            <w:pPr>
              <w:pStyle w:val="List"/>
            </w:pPr>
            <w:r w:rsidRPr="00EA55EB">
              <w:t>4.2</w:t>
            </w:r>
            <w:r w:rsidRPr="00EA55EB">
              <w:tab/>
              <w:t>The number of seeds considered viable in each replicate is counted.</w:t>
            </w:r>
          </w:p>
          <w:p w:rsidR="00000000" w:rsidP="00EA55EB">
            <w:pPr>
              <w:pStyle w:val="List"/>
              <w:rPr>
                <w:lang w:val="en-NZ"/>
              </w:rPr>
            </w:pPr>
            <w:r w:rsidRPr="00EA55EB">
              <w:t>4.3</w:t>
            </w:r>
            <w:r w:rsidRPr="00EA55EB">
              <w:tab/>
              <w:t>The percentage of viable seed in each replicate is ca</w:t>
            </w:r>
            <w:r w:rsidRPr="00EA55EB">
              <w:t>lculated and average percentage of viable seed across all replicates is determined.</w:t>
            </w:r>
          </w:p>
        </w:tc>
      </w:tr>
      <w:tr w:rsidTr="00EA55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5EB">
            <w:pPr>
              <w:pStyle w:val="List"/>
              <w:rPr>
                <w:lang w:val="en-NZ"/>
              </w:rPr>
            </w:pPr>
            <w:r w:rsidRPr="00EA55EB">
              <w:t>5.</w:t>
            </w:r>
            <w:r w:rsidRPr="00EA55EB">
              <w:tab/>
              <w:t>Finalise reporting and clean up</w:t>
            </w:r>
          </w:p>
        </w:tc>
        <w:tc>
          <w:tcPr>
            <w:tcW w:w="6312" w:type="dxa"/>
            <w:tcBorders>
              <w:top w:val="nil"/>
              <w:left w:val="nil"/>
              <w:bottom w:val="nil"/>
              <w:right w:val="nil"/>
            </w:tcBorders>
            <w:tcMar>
              <w:top w:w="0" w:type="dxa"/>
              <w:left w:w="62" w:type="dxa"/>
              <w:bottom w:w="0" w:type="dxa"/>
              <w:right w:w="62" w:type="dxa"/>
            </w:tcMar>
          </w:tcPr>
          <w:p w:rsidR="00000000" w:rsidRPr="00EA55EB" w:rsidP="00EA55EB">
            <w:pPr>
              <w:pStyle w:val="List"/>
            </w:pPr>
            <w:r w:rsidRPr="00EA55EB">
              <w:t>5.1</w:t>
            </w:r>
            <w:r w:rsidRPr="00EA55EB">
              <w:tab/>
              <w:t>Results of test are recorded and reported according to enterprise guidelines.</w:t>
            </w:r>
          </w:p>
          <w:p w:rsidR="00000000" w:rsidRPr="00EA55EB" w:rsidP="00EA55EB">
            <w:pPr>
              <w:pStyle w:val="List"/>
            </w:pPr>
            <w:r w:rsidRPr="00EA55EB">
              <w:t>5.2</w:t>
            </w:r>
            <w:r w:rsidRPr="00EA55EB">
              <w:tab/>
              <w:t>Laboratory and hazardous waste are safely handled,</w:t>
            </w:r>
            <w:r w:rsidRPr="00EA55EB">
              <w:t xml:space="preserve"> collected and disposed of according to enterprise guidelines.</w:t>
            </w:r>
          </w:p>
          <w:p w:rsidR="00000000" w:rsidRPr="00EA55EB" w:rsidP="00EA55EB">
            <w:pPr>
              <w:pStyle w:val="List"/>
            </w:pPr>
            <w:r w:rsidRPr="00EA55EB">
              <w:t>5.3</w:t>
            </w:r>
            <w:r w:rsidRPr="00EA55EB">
              <w:tab/>
              <w:t>Apparatus and equipment used in tetrazolium test is cleaned and used chemicals and solutions are disposed of safely in accordance with enterprise guidelines.</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9" w:name="O_469573"/>
      <w:bookmarkEnd w:id="9"/>
      <w:r w:rsidRPr="00EA55EB">
        <w:t>Required Ski</w:t>
      </w:r>
      <w:r w:rsidRPr="00EA55EB">
        <w:t>lls and Knowledge</w:t>
      </w:r>
    </w:p>
    <w:tbl>
      <w:tblPr>
        <w:tblW w:w="0" w:type="auto"/>
        <w:tblLayout w:type="fixed"/>
        <w:tblCellMar>
          <w:left w:w="62" w:type="dxa"/>
          <w:right w:w="62" w:type="dxa"/>
        </w:tblCellMar>
        <w:tblLook w:val="0000"/>
      </w:tblPr>
      <w:tblGrid>
        <w:gridCol w:w="9072"/>
      </w:tblGrid>
      <w:tr w:rsidTr="00EA5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55EB">
            <w:pPr>
              <w:pStyle w:val="BodyText"/>
              <w:rPr>
                <w:lang w:val="en-NZ"/>
              </w:rPr>
            </w:pPr>
            <w:r w:rsidRPr="00EA55EB">
              <w:t>This section describes the skills and knowledge required for this Unit.</w:t>
            </w:r>
          </w:p>
        </w:tc>
      </w:tr>
      <w:tr w:rsidTr="00EA5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55EB" w:rsidP="00EA55EB">
            <w:pPr>
              <w:pStyle w:val="TableHeading"/>
            </w:pPr>
            <w:r w:rsidRPr="00EA55EB">
              <w:rPr>
                <w:rStyle w:val="SpecialBold"/>
              </w:rPr>
              <w:t>Required skills include:</w:t>
            </w:r>
          </w:p>
          <w:p w:rsidR="00000000" w:rsidP="00EA55EB">
            <w:pPr>
              <w:pStyle w:val="BodyText"/>
              <w:rPr>
                <w:lang w:val="en-NZ"/>
              </w:rPr>
            </w:pPr>
            <w:r w:rsidRPr="00EA55EB">
              <w:rPr>
                <w:rStyle w:val="SpecialBold"/>
              </w:rPr>
              <w:t>Ability to:</w:t>
            </w:r>
          </w:p>
        </w:tc>
      </w:tr>
      <w:tr w:rsidTr="00EA5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55EB" w:rsidP="00EA55EB">
            <w:pPr>
              <w:pStyle w:val="ListBullet"/>
            </w:pPr>
            <w:r w:rsidRPr="00EA55EB">
              <w:t>calculate percentages and averages, rounding</w:t>
            </w:r>
          </w:p>
          <w:p w:rsidR="00000000" w:rsidRPr="00EA55EB" w:rsidP="00EA55EB">
            <w:pPr>
              <w:pStyle w:val="ListBullet"/>
            </w:pPr>
            <w:r w:rsidRPr="00EA55EB">
              <w:t>evaluate and report results</w:t>
            </w:r>
          </w:p>
          <w:p w:rsidR="00000000" w:rsidRPr="00EA55EB" w:rsidP="00EA55EB">
            <w:pPr>
              <w:pStyle w:val="ListBullet"/>
            </w:pPr>
            <w:r w:rsidRPr="00EA55EB">
              <w:t>expose seed tissue using recommended methods for particular seed types</w:t>
            </w:r>
          </w:p>
          <w:p w:rsidR="00000000" w:rsidRPr="00EA55EB" w:rsidP="00EA55EB">
            <w:pPr>
              <w:pStyle w:val="ListBullet"/>
            </w:pPr>
            <w:r w:rsidRPr="00EA55EB">
              <w:t>follow enterprise guidelines and standard operating procedures</w:t>
            </w:r>
          </w:p>
          <w:p w:rsidR="00000000" w:rsidRPr="00EA55EB" w:rsidP="00EA55EB">
            <w:pPr>
              <w:pStyle w:val="ListBullet"/>
            </w:pPr>
            <w:r w:rsidRPr="00EA55EB">
              <w:t>pre-moisten seed using a range of techniques</w:t>
            </w:r>
          </w:p>
          <w:p w:rsidR="00000000" w:rsidP="00EA55EB">
            <w:pPr>
              <w:pStyle w:val="ListBullet"/>
              <w:rPr>
                <w:lang w:val="en-NZ"/>
              </w:rPr>
            </w:pPr>
            <w:r w:rsidRPr="00EA55EB">
              <w:t>prepare replicates for testing.</w:t>
            </w:r>
          </w:p>
        </w:tc>
      </w:tr>
      <w:tr w:rsidTr="00EA5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55EB" w:rsidP="00EA55EB">
            <w:pPr>
              <w:pStyle w:val="TableHeading"/>
            </w:pPr>
            <w:r w:rsidRPr="00EA55EB">
              <w:rPr>
                <w:rStyle w:val="SpecialBold"/>
              </w:rPr>
              <w:t>Required knowledge includes:</w:t>
            </w:r>
          </w:p>
          <w:p w:rsidR="00000000" w:rsidP="00EA55EB">
            <w:pPr>
              <w:pStyle w:val="BodyText"/>
              <w:rPr>
                <w:lang w:val="en-NZ"/>
              </w:rPr>
            </w:pPr>
            <w:r w:rsidRPr="00EA55EB">
              <w:rPr>
                <w:rStyle w:val="SpecialBold"/>
              </w:rPr>
              <w:t>Knowledge of:</w:t>
            </w:r>
          </w:p>
        </w:tc>
      </w:tr>
      <w:tr w:rsidTr="00EA5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55EB" w:rsidP="00EA55EB">
            <w:pPr>
              <w:pStyle w:val="ListBullet"/>
            </w:pPr>
            <w:r w:rsidRPr="00EA55EB">
              <w:t>the role of the International Seed Testing Association (ISTA) and the ISTA Rules for Seed Testing</w:t>
            </w:r>
          </w:p>
          <w:p w:rsidR="00000000" w:rsidRPr="00EA55EB" w:rsidP="00EA55EB">
            <w:pPr>
              <w:pStyle w:val="ListBullet"/>
            </w:pPr>
            <w:r w:rsidRPr="00EA55EB">
              <w:t>seed biology</w:t>
            </w:r>
          </w:p>
          <w:p w:rsidR="00000000" w:rsidRPr="00EA55EB" w:rsidP="00EA55EB">
            <w:pPr>
              <w:pStyle w:val="ListBullet"/>
            </w:pPr>
            <w:r w:rsidRPr="00EA55EB">
              <w:t>tetrazolium testing procedures</w:t>
            </w:r>
          </w:p>
          <w:p w:rsidR="00000000" w:rsidRPr="00EA55EB" w:rsidP="00EA55EB">
            <w:pPr>
              <w:pStyle w:val="ListBullet"/>
            </w:pPr>
            <w:r w:rsidRPr="00EA55EB">
              <w:t>concepts of metrology</w:t>
            </w:r>
          </w:p>
          <w:p w:rsidR="00000000" w:rsidRPr="00EA55EB" w:rsidP="00EA55EB">
            <w:pPr>
              <w:pStyle w:val="ListBullet"/>
            </w:pPr>
            <w:r w:rsidRPr="00EA55EB">
              <w:t>enterprise and/or legal traceability requirements</w:t>
            </w:r>
          </w:p>
          <w:p w:rsidR="00000000" w:rsidRPr="00EA55EB" w:rsidP="00EA55EB">
            <w:pPr>
              <w:pStyle w:val="ListBullet"/>
            </w:pPr>
            <w:r w:rsidRPr="00EA55EB">
              <w:t>interpretation and recording of test result, including simple calculations</w:t>
            </w:r>
          </w:p>
          <w:p w:rsidR="00000000" w:rsidRPr="00EA55EB" w:rsidP="00EA55EB">
            <w:pPr>
              <w:pStyle w:val="ListBullet"/>
            </w:pPr>
            <w:r w:rsidRPr="00EA55EB">
              <w:t>enterprise standard operating procedures (SOPs)</w:t>
            </w:r>
          </w:p>
          <w:p w:rsidR="00000000" w:rsidRPr="00EA55EB" w:rsidP="00EA55EB">
            <w:pPr>
              <w:pStyle w:val="ListBullet"/>
            </w:pPr>
            <w:r w:rsidRPr="00EA55EB">
              <w:t>relevant health, safety and environment requirements.</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10" w:name="O_469574"/>
      <w:bookmarkEnd w:id="10"/>
      <w:r w:rsidRPr="00EA55EB">
        <w:t>Evidence Guide</w:t>
      </w:r>
    </w:p>
    <w:tbl>
      <w:tblPr>
        <w:tblW w:w="0" w:type="auto"/>
        <w:tblLayout w:type="fixed"/>
        <w:tblCellMar>
          <w:left w:w="62" w:type="dxa"/>
          <w:right w:w="62" w:type="dxa"/>
        </w:tblCellMar>
        <w:tblLook w:val="0000"/>
      </w:tblPr>
      <w:tblGrid>
        <w:gridCol w:w="3674"/>
        <w:gridCol w:w="5398"/>
      </w:tblGrid>
      <w:tr w:rsidTr="00EA55E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The evidence guide provides advice on assessm</w:t>
            </w:r>
            <w:r w:rsidRPr="00EA55EB">
              <w:t>ent and must be read in conjunction with the performance criteria, required skills and knowledge, range statement and the Assessment Guidelines for the Training Package.</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BodyText"/>
            </w:pPr>
            <w:r w:rsidRPr="00EA55EB">
              <w:t>The evidence required to demonstrate competency in this Unit must be relevant to workplace operations and satisfy holistically all of the requirements of the perfo</w:t>
            </w:r>
            <w:r w:rsidRPr="00EA55EB">
              <w:t>rmance criteria and required skills and knowledge and include achievement of the following:</w:t>
            </w:r>
          </w:p>
          <w:p w:rsidR="00000000" w:rsidRPr="00EA55EB" w:rsidP="00EA55EB">
            <w:pPr>
              <w:pStyle w:val="ListBullet"/>
            </w:pPr>
            <w:r w:rsidRPr="00EA55EB">
              <w:t>preparation of replicates for testing</w:t>
            </w:r>
          </w:p>
          <w:p w:rsidR="00000000" w:rsidRPr="00EA55EB" w:rsidP="00EA55EB">
            <w:pPr>
              <w:pStyle w:val="ListBullet"/>
            </w:pPr>
            <w:r w:rsidRPr="00EA55EB">
              <w:t>staining with tetrazolium</w:t>
            </w:r>
          </w:p>
          <w:p w:rsidR="00000000" w:rsidP="00EA55EB">
            <w:pPr>
              <w:pStyle w:val="ListBullet"/>
              <w:rPr>
                <w:lang w:val="en-NZ"/>
              </w:rPr>
            </w:pPr>
            <w:r w:rsidRPr="00EA55EB">
              <w:t>evaluation and reporting of test results.</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Competen</w:t>
            </w:r>
            <w:r w:rsidRPr="00EA55EB">
              <w:t>cy requires the application of work practices under work conditions. Selection and use of resources for some worksites may differ due to the regional or enterprise circumstances.</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This Unit should be assessed together with core Units a</w:t>
            </w:r>
            <w:r w:rsidRPr="00EA55EB">
              <w:t>nd other Units of Competency relevant to the function or work role.</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BodyText"/>
            </w:pPr>
            <w:r w:rsidRPr="00EA55EB">
              <w:t xml:space="preserve">To ensure consistency of performance, competency should be demonstrated on more than one occasion over a period of time in order to cover a variety of </w:t>
            </w:r>
            <w:r w:rsidRPr="00EA55EB">
              <w:t>circumstances, cases and responsibilities, and where possible, over a number of assessment activities.</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11" w:name="O_469575"/>
      <w:bookmarkEnd w:id="11"/>
      <w:r w:rsidRPr="00EA55EB">
        <w:t>Range Statement</w:t>
      </w:r>
    </w:p>
    <w:tbl>
      <w:tblPr>
        <w:tblW w:w="0" w:type="auto"/>
        <w:tblLayout w:type="fixed"/>
        <w:tblCellMar>
          <w:left w:w="62" w:type="dxa"/>
          <w:right w:w="62" w:type="dxa"/>
        </w:tblCellMar>
        <w:tblLook w:val="0000"/>
      </w:tblPr>
      <w:tblGrid>
        <w:gridCol w:w="3674"/>
        <w:gridCol w:w="5398"/>
      </w:tblGrid>
      <w:tr w:rsidTr="00EA55E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t>The range statement relates to the Unit of Competency as a whole. It allows for different work environments and situations that may affect performance. Bold italicised wording, if used in the performance criteria, is detailed below. Essential operating con</w:t>
            </w:r>
            <w:r w:rsidRPr="00EA55EB">
              <w:t>ditions that may be present with training and assessment (depending on the work situation, needs of the candidate, accessibility of the item, and local industry and regional contexts) may also be included.</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rPr>
                <w:rStyle w:val="BoldandItalics"/>
              </w:rPr>
              <w:t>Seed</w:t>
            </w:r>
            <w:r w:rsidRPr="00EA55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ListBullet"/>
              <w:rPr>
                <w:lang w:val="en-NZ"/>
              </w:rPr>
            </w:pPr>
            <w:r w:rsidRPr="00EA55EB">
              <w:t>bare seed; treated seed; and c</w:t>
            </w:r>
            <w:r w:rsidRPr="00EA55EB">
              <w:t>oated seed that has been prepared as required.</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rPr>
                <w:rStyle w:val="BoldandItalics"/>
              </w:rPr>
              <w:t>Replicate sample</w:t>
            </w:r>
            <w:r w:rsidRPr="00EA55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ListBullet"/>
              <w:rPr>
                <w:lang w:val="en-NZ"/>
              </w:rPr>
            </w:pPr>
            <w:r w:rsidRPr="00EA55EB">
              <w:t>pure seed fraction of a purity test, or a representative fraction of the submitted sample.</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rPr>
                <w:rStyle w:val="BoldandItalics"/>
              </w:rPr>
              <w:t>Pre-moistening method</w:t>
            </w:r>
            <w:r w:rsidRPr="00EA55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ListBullet"/>
              <w:rPr>
                <w:lang w:val="en-NZ"/>
              </w:rPr>
            </w:pPr>
            <w:r w:rsidRPr="00EA55EB">
              <w:t>slow moistening through imbibing between moist pape</w:t>
            </w:r>
            <w:r w:rsidRPr="00EA55EB">
              <w:t>r, or soaking in water.</w:t>
            </w:r>
          </w:p>
        </w:tc>
      </w:tr>
      <w:tr w:rsidTr="00EA55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5EB">
            <w:pPr>
              <w:pStyle w:val="BodyText"/>
              <w:rPr>
                <w:lang w:val="en-NZ"/>
              </w:rPr>
            </w:pPr>
            <w:r w:rsidRPr="00EA55EB">
              <w:rPr>
                <w:rStyle w:val="BoldandItalics"/>
              </w:rPr>
              <w:t>Exposure of tissue</w:t>
            </w:r>
            <w:r w:rsidRPr="00EA55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5EB" w:rsidP="00EA55EB">
            <w:pPr>
              <w:pStyle w:val="ListBullet"/>
            </w:pPr>
            <w:r w:rsidRPr="00EA55EB">
              <w:t>piercing the seed; longitudinal cutting; transverse cutting, transverse incision; excision of embryo, or removal of seed coat.</w:t>
            </w:r>
          </w:p>
        </w:tc>
      </w:tr>
    </w:tbl>
    <w:p w:rsidR="00000000" w:rsidRPr="00EA55EB" w:rsidP="00EA55EB">
      <w:pPr>
        <w:pStyle w:val="BodyText"/>
      </w:pPr>
    </w:p>
    <w:p w:rsidR="00000000" w:rsidRPr="00EA55EB" w:rsidP="00EA55EB">
      <w:pPr>
        <w:pStyle w:val="AllowPageBreak"/>
      </w:pPr>
    </w:p>
    <w:p w:rsidR="00000000" w:rsidRPr="00EA55EB" w:rsidP="00EA55EB">
      <w:pPr>
        <w:pStyle w:val="Heading1"/>
      </w:pPr>
      <w:bookmarkStart w:id="12" w:name="O_469576"/>
      <w:bookmarkEnd w:id="12"/>
      <w:r w:rsidRPr="00EA55EB">
        <w:t>Unit Sector(s)</w:t>
      </w:r>
    </w:p>
    <w:p w:rsidR="00000000" w:rsidRPr="00EA55EB" w:rsidP="00EA55EB">
      <w:pPr>
        <w:pStyle w:val="BodyText"/>
      </w:pPr>
      <w:r w:rsidRPr="00EA55EB">
        <w:t>Seed Testing</w:t>
      </w:r>
    </w:p>
    <w:p w:rsidR="00000000" w:rsidRPr="00EA55EB" w:rsidP="00EA55EB"/>
    <w:sectPr w:rsidSect="00EA5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243" w:rsidP="005F12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43" w:rsidP="00EA55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1243" w:rsidP="00EA55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243" w:rsidP="00EA55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EB" w:rsidRPr="005F1243" w:rsidP="005F12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43" w:rsidRPr="002D2AF8" w:rsidP="00EA55EB">
    <w:pPr>
      <w:pStyle w:val="Header"/>
      <w:framePr w:wrap="around"/>
    </w:pPr>
    <w:r>
      <w:fldChar w:fldCharType="begin"/>
    </w:r>
    <w:r>
      <w:instrText xml:space="preserve"> TITLE   \* MERGEFORMAT </w:instrText>
    </w:r>
    <w:r>
      <w:fldChar w:fldCharType="separate"/>
    </w:r>
    <w:r>
      <w:t>AHCSDT409A Perform a tetrazolium seed viability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5F1243" w:rsidP="00EA5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A84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5EB"/>
    <w:pPr>
      <w:spacing w:before="360" w:after="60"/>
      <w:outlineLvl w:val="0"/>
    </w:pPr>
    <w:rPr>
      <w:sz w:val="32"/>
    </w:rPr>
  </w:style>
  <w:style w:type="paragraph" w:styleId="Heading2">
    <w:name w:val="heading 2"/>
    <w:basedOn w:val="HeadingBase"/>
    <w:next w:val="BodyText"/>
    <w:link w:val="Heading2Char"/>
    <w:qFormat/>
    <w:rsid w:val="00EA55EB"/>
    <w:pPr>
      <w:keepLines/>
      <w:spacing w:before="240" w:after="120"/>
      <w:outlineLvl w:val="1"/>
    </w:pPr>
    <w:rPr>
      <w:sz w:val="28"/>
      <w:szCs w:val="40"/>
    </w:rPr>
  </w:style>
  <w:style w:type="paragraph" w:styleId="Heading3">
    <w:name w:val="heading 3"/>
    <w:basedOn w:val="HeadingBase"/>
    <w:next w:val="BodyText"/>
    <w:link w:val="Heading3Char"/>
    <w:qFormat/>
    <w:rsid w:val="00EA55EB"/>
    <w:pPr>
      <w:spacing w:before="180" w:after="120"/>
      <w:outlineLvl w:val="2"/>
    </w:pPr>
    <w:rPr>
      <w:spacing w:val="-10"/>
      <w:kern w:val="32"/>
    </w:rPr>
  </w:style>
  <w:style w:type="paragraph" w:styleId="Heading4">
    <w:name w:val="heading 4"/>
    <w:basedOn w:val="HeadingBase"/>
    <w:next w:val="BodyText"/>
    <w:link w:val="Heading4Char"/>
    <w:qFormat/>
    <w:rsid w:val="00EA55EB"/>
    <w:pPr>
      <w:spacing w:before="160" w:after="120"/>
      <w:outlineLvl w:val="3"/>
    </w:pPr>
    <w:rPr>
      <w:sz w:val="22"/>
    </w:rPr>
  </w:style>
  <w:style w:type="paragraph" w:styleId="Heading5">
    <w:name w:val="heading 5"/>
    <w:basedOn w:val="HeadingBase"/>
    <w:next w:val="Normal"/>
    <w:link w:val="Heading5Char"/>
    <w:qFormat/>
    <w:rsid w:val="00EA55EB"/>
    <w:pPr>
      <w:spacing w:before="80"/>
      <w:outlineLvl w:val="4"/>
    </w:pPr>
    <w:rPr>
      <w:color w:val="918585"/>
      <w:sz w:val="20"/>
    </w:rPr>
  </w:style>
  <w:style w:type="paragraph" w:styleId="Heading6">
    <w:name w:val="heading 6"/>
    <w:basedOn w:val="HeadingBase"/>
    <w:next w:val="Normal"/>
    <w:link w:val="Heading6Char"/>
    <w:qFormat/>
    <w:rsid w:val="00EA55EB"/>
    <w:pPr>
      <w:spacing w:before="60"/>
      <w:outlineLvl w:val="5"/>
    </w:pPr>
    <w:rPr>
      <w:color w:val="918585"/>
      <w:sz w:val="20"/>
    </w:rPr>
  </w:style>
  <w:style w:type="paragraph" w:styleId="Heading7">
    <w:name w:val="heading 7"/>
    <w:basedOn w:val="Normal"/>
    <w:next w:val="Normal"/>
    <w:link w:val="Heading7Char"/>
    <w:qFormat/>
    <w:rsid w:val="00EA55EB"/>
    <w:pPr>
      <w:ind w:left="720"/>
      <w:outlineLvl w:val="6"/>
    </w:pPr>
    <w:rPr>
      <w:i/>
    </w:rPr>
  </w:style>
  <w:style w:type="paragraph" w:styleId="Heading8">
    <w:name w:val="heading 8"/>
    <w:basedOn w:val="Normal"/>
    <w:next w:val="Normal"/>
    <w:link w:val="Heading8Char"/>
    <w:qFormat/>
    <w:rsid w:val="00EA55EB"/>
    <w:pPr>
      <w:ind w:left="720"/>
      <w:outlineLvl w:val="7"/>
    </w:pPr>
    <w:rPr>
      <w:i/>
    </w:rPr>
  </w:style>
  <w:style w:type="paragraph" w:styleId="Heading9">
    <w:name w:val="heading 9"/>
    <w:basedOn w:val="Normal"/>
    <w:next w:val="Normal"/>
    <w:link w:val="Heading9Char"/>
    <w:qFormat/>
    <w:rsid w:val="00EA55EB"/>
    <w:pPr>
      <w:ind w:left="720"/>
      <w:outlineLvl w:val="8"/>
    </w:pPr>
    <w:rPr>
      <w:i/>
    </w:rPr>
  </w:style>
  <w:style w:type="character" w:default="1" w:styleId="DefaultParagraphFont">
    <w:name w:val="Default Paragraph Font"/>
    <w:uiPriority w:val="1"/>
    <w:unhideWhenUsed/>
    <w:rsid w:val="00EA5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5EB"/>
  </w:style>
  <w:style w:type="character" w:customStyle="1" w:styleId="Heading1Char">
    <w:name w:val="Heading 1 Char"/>
    <w:basedOn w:val="DefaultParagraphFont"/>
    <w:link w:val="Heading1"/>
    <w:rsid w:val="00EA55EB"/>
    <w:rPr>
      <w:rFonts w:ascii="Times New Roman" w:eastAsia="Times New Roman" w:hAnsi="Times New Roman" w:cs="Times New Roman"/>
      <w:b/>
      <w:sz w:val="32"/>
      <w:szCs w:val="20"/>
      <w:lang w:eastAsia="en-US"/>
    </w:rPr>
  </w:style>
  <w:style w:type="paragraph" w:styleId="BodyText">
    <w:name w:val="Body Text"/>
    <w:basedOn w:val="Normal"/>
    <w:link w:val="BodyTextChar"/>
    <w:rsid w:val="00EA55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5EB"/>
    <w:rPr>
      <w:rFonts w:ascii="Times New Roman" w:eastAsia="Times New Roman" w:hAnsi="Times New Roman" w:cs="Times New Roman"/>
      <w:sz w:val="24"/>
      <w:lang w:eastAsia="en-US"/>
    </w:rPr>
  </w:style>
  <w:style w:type="paragraph" w:styleId="Footer">
    <w:name w:val="footer"/>
    <w:basedOn w:val="Normal"/>
    <w:link w:val="FooterChar"/>
    <w:rsid w:val="00EA5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5EB"/>
    <w:rPr>
      <w:rFonts w:ascii="Times New Roman" w:eastAsia="Times New Roman" w:hAnsi="Times New Roman" w:cs="Times New Roman"/>
      <w:sz w:val="16"/>
      <w:lang w:eastAsia="en-US"/>
    </w:rPr>
  </w:style>
  <w:style w:type="paragraph" w:styleId="List">
    <w:name w:val="List"/>
    <w:basedOn w:val="BodyText"/>
    <w:next w:val="BodyText"/>
    <w:rsid w:val="00EA55EB"/>
    <w:pPr>
      <w:tabs>
        <w:tab w:val="left" w:pos="340"/>
      </w:tabs>
      <w:spacing w:before="60" w:after="60"/>
      <w:ind w:left="340" w:hanging="340"/>
    </w:pPr>
  </w:style>
  <w:style w:type="paragraph" w:styleId="ListBullet">
    <w:name w:val="List Bullet"/>
    <w:basedOn w:val="List"/>
    <w:rsid w:val="00EA55EB"/>
    <w:pPr>
      <w:numPr>
        <w:numId w:val="12"/>
      </w:numPr>
      <w:tabs>
        <w:tab w:val="clear" w:pos="340"/>
      </w:tabs>
      <w:spacing w:before="40" w:after="40"/>
    </w:pPr>
  </w:style>
  <w:style w:type="character" w:customStyle="1" w:styleId="SpecialBold">
    <w:name w:val="Special Bold"/>
    <w:basedOn w:val="DefaultParagraphFont"/>
    <w:rsid w:val="00EA55EB"/>
    <w:rPr>
      <w:b/>
      <w:spacing w:val="0"/>
    </w:rPr>
  </w:style>
  <w:style w:type="paragraph" w:customStyle="1" w:styleId="SuperHeading">
    <w:name w:val="SuperHeading"/>
    <w:basedOn w:val="Normal"/>
    <w:rsid w:val="00EA55EB"/>
    <w:pPr>
      <w:spacing w:before="240" w:after="120"/>
      <w:outlineLvl w:val="0"/>
    </w:pPr>
    <w:rPr>
      <w:rFonts w:ascii="Times New Roman" w:hAnsi="Times New Roman"/>
      <w:b/>
      <w:sz w:val="28"/>
    </w:rPr>
  </w:style>
  <w:style w:type="paragraph" w:customStyle="1" w:styleId="TableHeading">
    <w:name w:val="Table Heading"/>
    <w:basedOn w:val="HeadingBase"/>
    <w:rsid w:val="00EA55EB"/>
    <w:pPr>
      <w:keepLines/>
      <w:pBdr>
        <w:bottom w:val="single" w:sz="6" w:space="1" w:color="918585"/>
      </w:pBdr>
      <w:spacing w:before="240"/>
    </w:pPr>
  </w:style>
  <w:style w:type="paragraph" w:customStyle="1" w:styleId="AllowPageBreak">
    <w:name w:val="AllowPageBreak"/>
    <w:rsid w:val="00EA5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55EB"/>
    <w:rPr>
      <w:b/>
      <w:i/>
      <w:u w:val="none"/>
    </w:rPr>
  </w:style>
  <w:style w:type="character" w:customStyle="1" w:styleId="Heading2Char">
    <w:name w:val="Heading 2 Char"/>
    <w:basedOn w:val="DefaultParagraphFont"/>
    <w:link w:val="Heading2"/>
    <w:rsid w:val="00EA5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5EB"/>
    <w:rPr>
      <w:rFonts w:ascii="Courier New" w:eastAsia="Times New Roman" w:hAnsi="Courier New" w:cs="Times New Roman"/>
      <w:i/>
      <w:szCs w:val="20"/>
      <w:lang w:eastAsia="en-US"/>
    </w:rPr>
  </w:style>
  <w:style w:type="paragraph" w:customStyle="1" w:styleId="HeadingBase">
    <w:name w:val="Heading Base"/>
    <w:rsid w:val="00EA5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5EB"/>
    <w:pPr>
      <w:tabs>
        <w:tab w:val="right" w:leader="dot" w:pos="9072"/>
      </w:tabs>
      <w:ind w:left="567"/>
    </w:pPr>
    <w:rPr>
      <w:szCs w:val="22"/>
    </w:rPr>
  </w:style>
  <w:style w:type="paragraph" w:customStyle="1" w:styleId="TOCBase">
    <w:name w:val="TOC Base"/>
    <w:rsid w:val="00EA5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5EB"/>
    <w:pPr>
      <w:tabs>
        <w:tab w:val="right" w:leader="dot" w:pos="9072"/>
      </w:tabs>
      <w:spacing w:before="40" w:after="40"/>
      <w:ind w:left="284"/>
    </w:pPr>
    <w:rPr>
      <w:rFonts w:ascii="Times New Roman" w:hAnsi="Times New Roman"/>
    </w:rPr>
  </w:style>
  <w:style w:type="paragraph" w:styleId="TOC1">
    <w:name w:val="toc 1"/>
    <w:basedOn w:val="TOCBase"/>
    <w:next w:val="Normal"/>
    <w:rsid w:val="00EA55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5EB"/>
    <w:pPr>
      <w:spacing w:before="5040"/>
      <w:jc w:val="center"/>
    </w:pPr>
    <w:rPr>
      <w:sz w:val="48"/>
      <w:szCs w:val="72"/>
      <w:lang w:val="en-US"/>
    </w:rPr>
  </w:style>
  <w:style w:type="character" w:customStyle="1" w:styleId="TitleChar">
    <w:name w:val="Title Char"/>
    <w:basedOn w:val="DefaultParagraphFont"/>
    <w:link w:val="Title"/>
    <w:rsid w:val="00EA5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5EB"/>
    <w:pPr>
      <w:tabs>
        <w:tab w:val="left" w:pos="3600"/>
        <w:tab w:val="left" w:pos="3958"/>
      </w:tabs>
    </w:pPr>
  </w:style>
  <w:style w:type="paragraph" w:customStyle="1" w:styleId="Note">
    <w:name w:val="Note"/>
    <w:basedOn w:val="BodyText"/>
    <w:rsid w:val="00EA5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5EB"/>
    <w:pPr>
      <w:framePr w:wrap="auto" w:hAnchor="text" w:y="6049"/>
    </w:pPr>
    <w:rPr>
      <w:color w:val="000000"/>
      <w:sz w:val="40"/>
    </w:rPr>
  </w:style>
  <w:style w:type="paragraph" w:customStyle="1" w:styleId="TOCTitle">
    <w:name w:val="TOCTitle"/>
    <w:basedOn w:val="Heading1"/>
    <w:rsid w:val="00EA55EB"/>
    <w:pPr>
      <w:spacing w:after="240"/>
      <w:jc w:val="center"/>
      <w:outlineLvl w:val="9"/>
    </w:pPr>
    <w:rPr>
      <w:caps/>
    </w:rPr>
  </w:style>
  <w:style w:type="paragraph" w:customStyle="1" w:styleId="Version">
    <w:name w:val="Version"/>
    <w:rsid w:val="00EA55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5EB"/>
    <w:pPr>
      <w:numPr>
        <w:numId w:val="13"/>
      </w:numPr>
      <w:tabs>
        <w:tab w:val="clear" w:pos="680"/>
      </w:tabs>
    </w:pPr>
  </w:style>
  <w:style w:type="paragraph" w:styleId="Index1">
    <w:name w:val="index 1"/>
    <w:basedOn w:val="Normal"/>
    <w:next w:val="Normal"/>
    <w:semiHidden/>
    <w:rsid w:val="00EA55EB"/>
    <w:pPr>
      <w:keepNext w:val="0"/>
      <w:tabs>
        <w:tab w:val="right" w:pos="4176"/>
      </w:tabs>
      <w:ind w:left="198" w:hanging="198"/>
    </w:pPr>
    <w:rPr>
      <w:rFonts w:ascii="Garamond" w:hAnsi="Garamond"/>
    </w:rPr>
  </w:style>
  <w:style w:type="paragraph" w:styleId="IndexHeading">
    <w:name w:val="index heading"/>
    <w:basedOn w:val="Normal"/>
    <w:next w:val="Index1"/>
    <w:semiHidden/>
    <w:rsid w:val="00EA55EB"/>
    <w:pPr>
      <w:spacing w:before="120" w:after="120"/>
    </w:pPr>
    <w:rPr>
      <w:rFonts w:ascii="Arial" w:hAnsi="Arial"/>
      <w:b/>
      <w:color w:val="918585"/>
      <w:sz w:val="24"/>
    </w:rPr>
  </w:style>
  <w:style w:type="paragraph" w:styleId="Header">
    <w:name w:val="header"/>
    <w:basedOn w:val="Normal"/>
    <w:link w:val="HeaderChar"/>
    <w:rsid w:val="00EA5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5EB"/>
    <w:rPr>
      <w:rFonts w:ascii="Times New Roman" w:eastAsia="Times New Roman" w:hAnsi="Times New Roman" w:cs="Times New Roman"/>
      <w:sz w:val="16"/>
      <w:szCs w:val="20"/>
      <w:lang w:val="en-GB" w:eastAsia="en-US"/>
    </w:rPr>
  </w:style>
  <w:style w:type="paragraph" w:customStyle="1" w:styleId="Chapter">
    <w:name w:val="Chapter"/>
    <w:basedOn w:val="Normal"/>
    <w:rsid w:val="00EA55EB"/>
    <w:pPr>
      <w:spacing w:before="240"/>
    </w:pPr>
    <w:rPr>
      <w:rFonts w:ascii="Times New Roman" w:hAnsi="Times New Roman"/>
      <w:smallCaps/>
      <w:spacing w:val="80"/>
      <w:sz w:val="28"/>
    </w:rPr>
  </w:style>
  <w:style w:type="paragraph" w:customStyle="1" w:styleId="InChapter">
    <w:name w:val="InChapter"/>
    <w:basedOn w:val="Heading3"/>
    <w:rsid w:val="00EA55EB"/>
    <w:pPr>
      <w:spacing w:after="240"/>
      <w:outlineLvl w:val="9"/>
    </w:pPr>
    <w:rPr>
      <w:noProof/>
    </w:rPr>
  </w:style>
  <w:style w:type="paragraph" w:styleId="Index2">
    <w:name w:val="index 2"/>
    <w:basedOn w:val="Normal"/>
    <w:next w:val="Normal"/>
    <w:semiHidden/>
    <w:rsid w:val="00EA55EB"/>
    <w:pPr>
      <w:tabs>
        <w:tab w:val="right" w:pos="4176"/>
      </w:tabs>
      <w:ind w:left="568" w:hanging="284"/>
    </w:pPr>
    <w:rPr>
      <w:rFonts w:ascii="Garamond" w:hAnsi="Garamond"/>
    </w:rPr>
  </w:style>
  <w:style w:type="paragraph" w:customStyle="1" w:styleId="Byline">
    <w:name w:val="Byline"/>
    <w:rsid w:val="00EA5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5EB"/>
    <w:pPr>
      <w:tabs>
        <w:tab w:val="clear" w:pos="3600"/>
        <w:tab w:val="clear" w:pos="3958"/>
      </w:tabs>
      <w:jc w:val="right"/>
    </w:pPr>
  </w:style>
  <w:style w:type="character" w:styleId="Emphasis">
    <w:name w:val="Emphasis"/>
    <w:basedOn w:val="DefaultParagraphFont"/>
    <w:qFormat/>
    <w:rsid w:val="00EA55EB"/>
    <w:rPr>
      <w:i/>
    </w:rPr>
  </w:style>
  <w:style w:type="paragraph" w:styleId="Caption">
    <w:name w:val="caption"/>
    <w:basedOn w:val="BodyText"/>
    <w:next w:val="Normal"/>
    <w:qFormat/>
    <w:rsid w:val="00EA55EB"/>
    <w:pPr>
      <w:framePr w:w="2268" w:hSpace="181" w:vSpace="181" w:wrap="around" w:vAnchor="text" w:hAnchor="page" w:x="1135" w:y="285" w:anchorLock="1"/>
    </w:pPr>
    <w:rPr>
      <w:i/>
    </w:rPr>
  </w:style>
  <w:style w:type="paragraph" w:customStyle="1" w:styleId="MiniTOCTitle">
    <w:name w:val="MiniTOCTitle"/>
    <w:basedOn w:val="Heading4"/>
    <w:rsid w:val="00EA55EB"/>
    <w:pPr>
      <w:spacing w:before="240"/>
      <w:outlineLvl w:val="9"/>
    </w:pPr>
    <w:rPr>
      <w:noProof/>
      <w:sz w:val="24"/>
    </w:rPr>
  </w:style>
  <w:style w:type="paragraph" w:customStyle="1" w:styleId="MiniTOCItem">
    <w:name w:val="MiniTOCItem"/>
    <w:basedOn w:val="ListBullet"/>
    <w:rsid w:val="00EA55EB"/>
    <w:pPr>
      <w:numPr>
        <w:numId w:val="0"/>
      </w:numPr>
      <w:tabs>
        <w:tab w:val="right" w:leader="dot" w:pos="6521"/>
      </w:tabs>
      <w:spacing w:before="0" w:after="0"/>
    </w:pPr>
  </w:style>
  <w:style w:type="paragraph" w:customStyle="1" w:styleId="TOFTitle">
    <w:name w:val="TOFTitle"/>
    <w:basedOn w:val="TOCTitle"/>
    <w:rsid w:val="00EA55EB"/>
  </w:style>
  <w:style w:type="paragraph" w:styleId="TableofFigures">
    <w:name w:val="table of figures"/>
    <w:basedOn w:val="Normal"/>
    <w:next w:val="Normal"/>
    <w:semiHidden/>
    <w:rsid w:val="00EA55EB"/>
    <w:pPr>
      <w:tabs>
        <w:tab w:val="right" w:leader="dot" w:pos="9072"/>
      </w:tabs>
      <w:ind w:left="970" w:hanging="403"/>
    </w:pPr>
    <w:rPr>
      <w:rFonts w:ascii="Times New Roman" w:hAnsi="Times New Roman"/>
      <w:b/>
    </w:rPr>
  </w:style>
  <w:style w:type="paragraph" w:styleId="ListNumber">
    <w:name w:val="List Number"/>
    <w:basedOn w:val="List"/>
    <w:rsid w:val="00EA55EB"/>
    <w:pPr>
      <w:numPr>
        <w:numId w:val="10"/>
      </w:numPr>
    </w:pPr>
  </w:style>
  <w:style w:type="character" w:customStyle="1" w:styleId="WingdingSymbols">
    <w:name w:val="Wingding Symbols"/>
    <w:rsid w:val="00EA55EB"/>
    <w:rPr>
      <w:rFonts w:ascii="Wingdings" w:hAnsi="Wingdings"/>
    </w:rPr>
  </w:style>
  <w:style w:type="character" w:customStyle="1" w:styleId="HotSpot">
    <w:name w:val="HotSpot"/>
    <w:rsid w:val="00EA55EB"/>
    <w:rPr>
      <w:color w:val="0033CC"/>
      <w:u w:val="none"/>
    </w:rPr>
  </w:style>
  <w:style w:type="paragraph" w:customStyle="1" w:styleId="BodyTextRight">
    <w:name w:val="Body Text Right"/>
    <w:basedOn w:val="BodyText"/>
    <w:rsid w:val="00EA55EB"/>
    <w:pPr>
      <w:spacing w:before="0" w:after="0"/>
      <w:jc w:val="right"/>
    </w:pPr>
  </w:style>
  <w:style w:type="paragraph" w:styleId="Index3">
    <w:name w:val="index 3"/>
    <w:basedOn w:val="ListNumber2"/>
    <w:next w:val="Normal"/>
    <w:semiHidden/>
    <w:rsid w:val="00EA55EB"/>
    <w:pPr>
      <w:numPr>
        <w:numId w:val="0"/>
      </w:numPr>
      <w:tabs>
        <w:tab w:val="right" w:leader="dot" w:pos="4176"/>
      </w:tabs>
    </w:pPr>
  </w:style>
  <w:style w:type="paragraph" w:styleId="ListNumber2">
    <w:name w:val="List Number 2"/>
    <w:basedOn w:val="List2"/>
    <w:rsid w:val="00EA55EB"/>
    <w:pPr>
      <w:numPr>
        <w:numId w:val="9"/>
      </w:numPr>
      <w:tabs>
        <w:tab w:val="clear" w:pos="1060"/>
      </w:tabs>
    </w:pPr>
  </w:style>
  <w:style w:type="paragraph" w:customStyle="1" w:styleId="MarginNote">
    <w:name w:val="Margin Note"/>
    <w:basedOn w:val="BodyText"/>
    <w:rsid w:val="00EA5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5EB"/>
    <w:rPr>
      <w:sz w:val="32"/>
    </w:rPr>
  </w:style>
  <w:style w:type="paragraph" w:customStyle="1" w:styleId="HeadingProcedure">
    <w:name w:val="Heading Procedure"/>
    <w:basedOn w:val="HeadingBase"/>
    <w:next w:val="Normal"/>
    <w:rsid w:val="00EA55EB"/>
    <w:pPr>
      <w:tabs>
        <w:tab w:val="left" w:pos="0"/>
      </w:tabs>
      <w:spacing w:before="120" w:after="60"/>
    </w:pPr>
    <w:rPr>
      <w:i/>
      <w:color w:val="918585"/>
      <w:sz w:val="22"/>
    </w:rPr>
  </w:style>
  <w:style w:type="paragraph" w:customStyle="1" w:styleId="TableBodyText">
    <w:name w:val="Table Body Text"/>
    <w:basedOn w:val="BodyText"/>
    <w:rsid w:val="00EA55EB"/>
    <w:pPr>
      <w:spacing w:before="60" w:after="60"/>
    </w:pPr>
  </w:style>
  <w:style w:type="paragraph" w:styleId="ListContinue">
    <w:name w:val="List Continue"/>
    <w:basedOn w:val="List"/>
    <w:rsid w:val="00EA55EB"/>
    <w:pPr>
      <w:ind w:firstLine="0"/>
    </w:pPr>
  </w:style>
  <w:style w:type="paragraph" w:customStyle="1" w:styleId="ListNote">
    <w:name w:val="List Note"/>
    <w:basedOn w:val="List"/>
    <w:rsid w:val="00EA55EB"/>
    <w:pPr>
      <w:pBdr>
        <w:top w:val="single" w:sz="6" w:space="2" w:color="918585"/>
        <w:bottom w:val="single" w:sz="6" w:space="2" w:color="918585"/>
      </w:pBdr>
      <w:tabs>
        <w:tab w:val="left" w:pos="1021"/>
      </w:tabs>
      <w:ind w:firstLine="0"/>
    </w:pPr>
  </w:style>
  <w:style w:type="paragraph" w:customStyle="1" w:styleId="Warning">
    <w:name w:val="Warning"/>
    <w:basedOn w:val="BodyText"/>
    <w:rsid w:val="00EA55EB"/>
    <w:pPr>
      <w:shd w:val="clear" w:color="auto" w:fill="D9D9D9"/>
      <w:tabs>
        <w:tab w:val="left" w:pos="992"/>
      </w:tabs>
      <w:ind w:left="119" w:right="119"/>
    </w:pPr>
    <w:rPr>
      <w:sz w:val="20"/>
    </w:rPr>
  </w:style>
  <w:style w:type="paragraph" w:customStyle="1" w:styleId="MarginIcons">
    <w:name w:val="Margin Icons"/>
    <w:basedOn w:val="BodyText"/>
    <w:rsid w:val="00EA5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5EB"/>
    <w:rPr>
      <w:rFonts w:ascii="Courier New" w:hAnsi="Courier New"/>
    </w:rPr>
  </w:style>
  <w:style w:type="paragraph" w:customStyle="1" w:styleId="NoteBullet">
    <w:name w:val="Note Bullet"/>
    <w:basedOn w:val="Note"/>
    <w:rsid w:val="00EA55EB"/>
    <w:pPr>
      <w:tabs>
        <w:tab w:val="clear" w:pos="680"/>
      </w:tabs>
      <w:spacing w:before="60" w:after="60"/>
    </w:pPr>
  </w:style>
  <w:style w:type="paragraph" w:customStyle="1" w:styleId="SubHeading2">
    <w:name w:val="SubHeading2"/>
    <w:basedOn w:val="HeadingBase"/>
    <w:rsid w:val="00EA55EB"/>
    <w:pPr>
      <w:spacing w:before="240" w:after="60"/>
    </w:pPr>
    <w:rPr>
      <w:sz w:val="20"/>
    </w:rPr>
  </w:style>
  <w:style w:type="paragraph" w:customStyle="1" w:styleId="SubHeading1">
    <w:name w:val="SubHeading1"/>
    <w:basedOn w:val="HeadingBase"/>
    <w:rsid w:val="00EA55EB"/>
    <w:pPr>
      <w:spacing w:before="240" w:after="60"/>
    </w:pPr>
    <w:rPr>
      <w:color w:val="918585"/>
      <w:sz w:val="22"/>
    </w:rPr>
  </w:style>
  <w:style w:type="paragraph" w:customStyle="1" w:styleId="SideHeading">
    <w:name w:val="Side Heading"/>
    <w:basedOn w:val="HeadingBase"/>
    <w:rsid w:val="00EA5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5EB"/>
    <w:pPr>
      <w:tabs>
        <w:tab w:val="num" w:pos="360"/>
      </w:tabs>
    </w:pPr>
  </w:style>
  <w:style w:type="paragraph" w:styleId="PlainText">
    <w:name w:val="Plain Text"/>
    <w:basedOn w:val="Normal"/>
    <w:link w:val="PlainTextChar"/>
    <w:rsid w:val="00EA55EB"/>
    <w:rPr>
      <w:sz w:val="20"/>
    </w:rPr>
  </w:style>
  <w:style w:type="character" w:customStyle="1" w:styleId="PlainTextChar">
    <w:name w:val="Plain Text Char"/>
    <w:basedOn w:val="DefaultParagraphFont"/>
    <w:link w:val="PlainText"/>
    <w:rsid w:val="00EA55EB"/>
    <w:rPr>
      <w:rFonts w:ascii="Courier New" w:eastAsia="Times New Roman" w:hAnsi="Courier New" w:cs="Times New Roman"/>
      <w:sz w:val="20"/>
      <w:szCs w:val="20"/>
      <w:lang w:eastAsia="en-US"/>
    </w:rPr>
  </w:style>
  <w:style w:type="character" w:customStyle="1" w:styleId="MenuOption">
    <w:name w:val="Menu Option"/>
    <w:basedOn w:val="DefaultParagraphFont"/>
    <w:rsid w:val="00EA55EB"/>
    <w:rPr>
      <w:b/>
      <w:smallCaps/>
    </w:rPr>
  </w:style>
  <w:style w:type="paragraph" w:customStyle="1" w:styleId="TableListNumber">
    <w:name w:val="Table List Number"/>
    <w:basedOn w:val="ListNumber"/>
    <w:rsid w:val="00EA55EB"/>
    <w:pPr>
      <w:numPr>
        <w:numId w:val="0"/>
      </w:numPr>
    </w:pPr>
  </w:style>
  <w:style w:type="paragraph" w:styleId="TOC4">
    <w:name w:val="toc 4"/>
    <w:basedOn w:val="TOCBase"/>
    <w:next w:val="Normal"/>
    <w:semiHidden/>
    <w:rsid w:val="00EA55EB"/>
    <w:pPr>
      <w:tabs>
        <w:tab w:val="right" w:leader="dot" w:pos="9071"/>
      </w:tabs>
      <w:ind w:left="1701"/>
    </w:pPr>
  </w:style>
  <w:style w:type="paragraph" w:customStyle="1" w:styleId="ListAlpha">
    <w:name w:val="List Alpha"/>
    <w:basedOn w:val="List"/>
    <w:rsid w:val="00EA55EB"/>
    <w:pPr>
      <w:numPr>
        <w:numId w:val="8"/>
      </w:numPr>
    </w:pPr>
  </w:style>
  <w:style w:type="paragraph" w:customStyle="1" w:styleId="ListAlpha2">
    <w:name w:val="List Alpha 2"/>
    <w:basedOn w:val="List2"/>
    <w:rsid w:val="00EA55EB"/>
    <w:pPr>
      <w:numPr>
        <w:numId w:val="7"/>
      </w:numPr>
    </w:pPr>
  </w:style>
  <w:style w:type="paragraph" w:styleId="List2">
    <w:name w:val="List 2"/>
    <w:basedOn w:val="BodyText"/>
    <w:rsid w:val="00EA55EB"/>
    <w:pPr>
      <w:tabs>
        <w:tab w:val="left" w:pos="680"/>
      </w:tabs>
      <w:spacing w:before="60" w:after="60"/>
      <w:ind w:left="680" w:hanging="340"/>
    </w:pPr>
  </w:style>
  <w:style w:type="paragraph" w:styleId="List3">
    <w:name w:val="List 3"/>
    <w:basedOn w:val="BodyText"/>
    <w:rsid w:val="00EA55EB"/>
    <w:pPr>
      <w:tabs>
        <w:tab w:val="left" w:pos="1021"/>
      </w:tabs>
      <w:spacing w:before="60" w:after="60"/>
      <w:ind w:left="1020" w:hanging="340"/>
    </w:pPr>
  </w:style>
  <w:style w:type="paragraph" w:styleId="List4">
    <w:name w:val="List 4"/>
    <w:basedOn w:val="BodyText"/>
    <w:rsid w:val="00EA55EB"/>
    <w:pPr>
      <w:tabs>
        <w:tab w:val="left" w:pos="1361"/>
      </w:tabs>
      <w:spacing w:before="60" w:after="60"/>
      <w:ind w:left="1361" w:hanging="340"/>
    </w:pPr>
  </w:style>
  <w:style w:type="paragraph" w:styleId="List5">
    <w:name w:val="List 5"/>
    <w:basedOn w:val="BodyText"/>
    <w:rsid w:val="00EA55EB"/>
    <w:pPr>
      <w:tabs>
        <w:tab w:val="left" w:pos="1701"/>
      </w:tabs>
      <w:spacing w:before="60" w:after="60"/>
      <w:ind w:left="1701" w:hanging="340"/>
    </w:pPr>
  </w:style>
  <w:style w:type="paragraph" w:styleId="ListBullet3">
    <w:name w:val="List Bullet 3"/>
    <w:basedOn w:val="List3"/>
    <w:rsid w:val="00EA55EB"/>
    <w:pPr>
      <w:numPr>
        <w:numId w:val="14"/>
      </w:numPr>
      <w:tabs>
        <w:tab w:val="clear" w:pos="1021"/>
      </w:tabs>
      <w:ind w:left="1037" w:hanging="357"/>
    </w:pPr>
  </w:style>
  <w:style w:type="paragraph" w:styleId="ListBullet4">
    <w:name w:val="List Bullet 4"/>
    <w:basedOn w:val="List4"/>
    <w:rsid w:val="00EA55EB"/>
    <w:pPr>
      <w:numPr>
        <w:numId w:val="2"/>
      </w:numPr>
    </w:pPr>
  </w:style>
  <w:style w:type="paragraph" w:styleId="ListBullet5">
    <w:name w:val="List Bullet 5"/>
    <w:basedOn w:val="List5"/>
    <w:rsid w:val="00EA55EB"/>
    <w:pPr>
      <w:numPr>
        <w:numId w:val="3"/>
      </w:numPr>
    </w:pPr>
  </w:style>
  <w:style w:type="paragraph" w:styleId="ListContinue2">
    <w:name w:val="List Continue 2"/>
    <w:basedOn w:val="List2"/>
    <w:rsid w:val="00EA55EB"/>
    <w:pPr>
      <w:ind w:firstLine="0"/>
    </w:pPr>
  </w:style>
  <w:style w:type="paragraph" w:styleId="ListContinue3">
    <w:name w:val="List Continue 3"/>
    <w:basedOn w:val="List3"/>
    <w:rsid w:val="00EA55EB"/>
    <w:pPr>
      <w:ind w:left="1021" w:firstLine="0"/>
    </w:pPr>
  </w:style>
  <w:style w:type="paragraph" w:styleId="ListContinue4">
    <w:name w:val="List Continue 4"/>
    <w:basedOn w:val="List4"/>
    <w:rsid w:val="00EA55EB"/>
    <w:pPr>
      <w:ind w:firstLine="0"/>
    </w:pPr>
  </w:style>
  <w:style w:type="paragraph" w:styleId="ListContinue5">
    <w:name w:val="List Continue 5"/>
    <w:basedOn w:val="List5"/>
    <w:rsid w:val="00EA55EB"/>
    <w:pPr>
      <w:ind w:firstLine="0"/>
    </w:pPr>
  </w:style>
  <w:style w:type="paragraph" w:styleId="ListNumber3">
    <w:name w:val="List Number 3"/>
    <w:basedOn w:val="List3"/>
    <w:rsid w:val="00EA55EB"/>
    <w:pPr>
      <w:numPr>
        <w:numId w:val="4"/>
      </w:numPr>
    </w:pPr>
  </w:style>
  <w:style w:type="paragraph" w:styleId="ListNumber4">
    <w:name w:val="List Number 4"/>
    <w:basedOn w:val="List4"/>
    <w:rsid w:val="00EA55EB"/>
    <w:pPr>
      <w:numPr>
        <w:numId w:val="5"/>
      </w:numPr>
    </w:pPr>
  </w:style>
  <w:style w:type="paragraph" w:styleId="ListNumber5">
    <w:name w:val="List Number 5"/>
    <w:basedOn w:val="List5"/>
    <w:rsid w:val="00EA55EB"/>
    <w:pPr>
      <w:numPr>
        <w:numId w:val="6"/>
      </w:numPr>
    </w:pPr>
  </w:style>
  <w:style w:type="paragraph" w:styleId="BlockText">
    <w:name w:val="Block Text"/>
    <w:basedOn w:val="Normal"/>
    <w:rsid w:val="00EA55EB"/>
    <w:pPr>
      <w:spacing w:after="120"/>
      <w:ind w:left="1440" w:right="1440"/>
    </w:pPr>
  </w:style>
  <w:style w:type="character" w:customStyle="1" w:styleId="Subscript">
    <w:name w:val="Subscript"/>
    <w:basedOn w:val="DefaultParagraphFont"/>
    <w:rsid w:val="00EA55EB"/>
    <w:rPr>
      <w:sz w:val="16"/>
      <w:vertAlign w:val="subscript"/>
    </w:rPr>
  </w:style>
  <w:style w:type="character" w:customStyle="1" w:styleId="Superscript">
    <w:name w:val="Superscript"/>
    <w:basedOn w:val="DefaultParagraphFont"/>
    <w:rsid w:val="00EA55EB"/>
    <w:rPr>
      <w:sz w:val="16"/>
      <w:vertAlign w:val="superscript"/>
    </w:rPr>
  </w:style>
  <w:style w:type="character" w:customStyle="1" w:styleId="Symbols">
    <w:name w:val="Symbols"/>
    <w:basedOn w:val="DefaultParagraphFont"/>
    <w:rsid w:val="00EA55EB"/>
    <w:rPr>
      <w:rFonts w:ascii="Symbol" w:hAnsi="Symbol"/>
    </w:rPr>
  </w:style>
  <w:style w:type="character" w:customStyle="1" w:styleId="MenuOptions">
    <w:name w:val="Menu Options"/>
    <w:basedOn w:val="DefaultParagraphFont"/>
    <w:rsid w:val="00EA55EB"/>
    <w:rPr>
      <w:rFonts w:ascii="Arial Narrow" w:hAnsi="Arial Narrow"/>
      <w:smallCaps/>
    </w:rPr>
  </w:style>
  <w:style w:type="character" w:customStyle="1" w:styleId="Buttons">
    <w:name w:val="Buttons"/>
    <w:basedOn w:val="DefaultParagraphFont"/>
    <w:rsid w:val="00EA55EB"/>
    <w:rPr>
      <w:b/>
    </w:rPr>
  </w:style>
  <w:style w:type="character" w:customStyle="1" w:styleId="Underlined">
    <w:name w:val="Underlined"/>
    <w:basedOn w:val="DefaultParagraphFont"/>
    <w:rsid w:val="00EA55EB"/>
    <w:rPr>
      <w:u w:val="single"/>
    </w:rPr>
  </w:style>
  <w:style w:type="paragraph" w:customStyle="1" w:styleId="TableBodyTextRight">
    <w:name w:val="Table Body Text Right"/>
    <w:basedOn w:val="TableBodyText"/>
    <w:rsid w:val="00EA55EB"/>
    <w:pPr>
      <w:widowControl w:val="0"/>
      <w:autoSpaceDE w:val="0"/>
      <w:autoSpaceDN w:val="0"/>
      <w:adjustRightInd w:val="0"/>
      <w:jc w:val="right"/>
    </w:pPr>
    <w:rPr>
      <w:rFonts w:cs="Arial"/>
      <w:szCs w:val="18"/>
    </w:rPr>
  </w:style>
  <w:style w:type="paragraph" w:customStyle="1" w:styleId="CopyrightText">
    <w:name w:val="Copyright Text"/>
    <w:basedOn w:val="BodyText"/>
    <w:rsid w:val="00EA55EB"/>
    <w:rPr>
      <w:sz w:val="18"/>
    </w:rPr>
  </w:style>
  <w:style w:type="paragraph" w:customStyle="1" w:styleId="BodySmallRight">
    <w:name w:val="Body Small Right"/>
    <w:basedOn w:val="BodyTextRight"/>
    <w:rsid w:val="00EA55EB"/>
    <w:rPr>
      <w:sz w:val="18"/>
      <w:szCs w:val="18"/>
    </w:rPr>
  </w:style>
  <w:style w:type="paragraph" w:customStyle="1" w:styleId="MarginEdition">
    <w:name w:val="Margin Edition"/>
    <w:basedOn w:val="MarginNote"/>
    <w:rsid w:val="00EA55EB"/>
    <w:pPr>
      <w:spacing w:before="0" w:after="0"/>
    </w:pPr>
    <w:rPr>
      <w:rFonts w:ascii="Times New Roman" w:hAnsi="Times New Roman"/>
      <w:color w:val="999999"/>
    </w:rPr>
  </w:style>
  <w:style w:type="paragraph" w:customStyle="1" w:styleId="Spacer">
    <w:name w:val="Spacer"/>
    <w:basedOn w:val="Normal"/>
    <w:rsid w:val="00EA55EB"/>
    <w:rPr>
      <w:sz w:val="2"/>
      <w:szCs w:val="2"/>
    </w:rPr>
  </w:style>
  <w:style w:type="character" w:customStyle="1" w:styleId="Small">
    <w:name w:val="Small"/>
    <w:basedOn w:val="DefaultParagraphFont"/>
    <w:rsid w:val="00EA55EB"/>
    <w:rPr>
      <w:sz w:val="16"/>
    </w:rPr>
  </w:style>
  <w:style w:type="paragraph" w:customStyle="1" w:styleId="WideTable">
    <w:name w:val="Wide Table"/>
    <w:basedOn w:val="Normal"/>
    <w:rsid w:val="00EA55EB"/>
    <w:pPr>
      <w:ind w:left="-1418"/>
    </w:pPr>
    <w:rPr>
      <w:sz w:val="2"/>
      <w:szCs w:val="2"/>
    </w:rPr>
  </w:style>
  <w:style w:type="character" w:styleId="PageNumber">
    <w:name w:val="page number"/>
    <w:basedOn w:val="DefaultParagraphFont"/>
    <w:rsid w:val="00EA55EB"/>
  </w:style>
  <w:style w:type="paragraph" w:styleId="Quote">
    <w:name w:val="Quote"/>
    <w:basedOn w:val="Heading1"/>
    <w:link w:val="QuoteChar"/>
    <w:qFormat/>
    <w:rsid w:val="00EA55EB"/>
    <w:rPr>
      <w:b w:val="0"/>
      <w:sz w:val="72"/>
      <w:szCs w:val="72"/>
      <w:lang w:val="en-NZ"/>
    </w:rPr>
  </w:style>
  <w:style w:type="character" w:customStyle="1" w:styleId="QuoteChar">
    <w:name w:val="Quote Char"/>
    <w:basedOn w:val="DefaultParagraphFont"/>
    <w:link w:val="Quote"/>
    <w:rsid w:val="00EA5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5EB"/>
    <w:pPr>
      <w:pageBreakBefore/>
    </w:pPr>
  </w:style>
  <w:style w:type="paragraph" w:customStyle="1" w:styleId="Border">
    <w:name w:val="Border"/>
    <w:basedOn w:val="Normal"/>
    <w:qFormat/>
    <w:rsid w:val="00EA5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5EB"/>
    <w:rPr>
      <w:b/>
      <w:bCs/>
      <w:i/>
      <w:iCs/>
      <w:color w:val="auto"/>
    </w:rPr>
  </w:style>
  <w:style w:type="paragraph" w:styleId="IntenseQuote">
    <w:name w:val="Intense Quote"/>
    <w:basedOn w:val="Normal"/>
    <w:next w:val="Normal"/>
    <w:link w:val="IntenseQuoteChar"/>
    <w:uiPriority w:val="30"/>
    <w:qFormat/>
    <w:rsid w:val="00EA5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5EB"/>
    <w:rPr>
      <w:smallCaps/>
      <w:color w:val="auto"/>
      <w:u w:val="single"/>
    </w:rPr>
  </w:style>
  <w:style w:type="character" w:styleId="IntenseReference">
    <w:name w:val="Intense Reference"/>
    <w:basedOn w:val="DefaultParagraphFont"/>
    <w:uiPriority w:val="32"/>
    <w:qFormat/>
    <w:rsid w:val="00EA55EB"/>
    <w:rPr>
      <w:b/>
      <w:bCs/>
      <w:smallCaps/>
      <w:color w:val="auto"/>
      <w:spacing w:val="5"/>
      <w:u w:val="single"/>
    </w:rPr>
  </w:style>
  <w:style w:type="paragraph" w:customStyle="1" w:styleId="2ColumnHeading">
    <w:name w:val="2Column Heading"/>
    <w:basedOn w:val="BodyText"/>
    <w:qFormat/>
    <w:rsid w:val="00EA55EB"/>
    <w:pPr>
      <w:spacing w:after="60"/>
      <w:ind w:left="-2268"/>
    </w:pPr>
    <w:rPr>
      <w:b/>
    </w:rPr>
  </w:style>
  <w:style w:type="paragraph" w:customStyle="1" w:styleId="Heading1TOC">
    <w:name w:val="Heading1 TOC"/>
    <w:basedOn w:val="Normal"/>
    <w:qFormat/>
    <w:rsid w:val="00EA55EB"/>
    <w:pPr>
      <w:spacing w:before="240" w:after="120"/>
    </w:pPr>
    <w:rPr>
      <w:rFonts w:ascii="Times New Roman" w:hAnsi="Times New Roman"/>
      <w:b/>
      <w:sz w:val="32"/>
    </w:rPr>
  </w:style>
  <w:style w:type="paragraph" w:customStyle="1" w:styleId="Heading2TOC">
    <w:name w:val="Heading2 TOC"/>
    <w:basedOn w:val="Normal"/>
    <w:qFormat/>
    <w:rsid w:val="00EA55EB"/>
    <w:pPr>
      <w:spacing w:before="240" w:after="60"/>
    </w:pPr>
    <w:rPr>
      <w:rFonts w:ascii="Times New Roman" w:hAnsi="Times New Roman"/>
      <w:b/>
      <w:sz w:val="28"/>
    </w:rPr>
  </w:style>
  <w:style w:type="character" w:customStyle="1" w:styleId="Underline">
    <w:name w:val="Underline"/>
    <w:basedOn w:val="DefaultParagraphFont"/>
    <w:qFormat/>
    <w:rsid w:val="00EA55EB"/>
    <w:rPr>
      <w:u w:val="single"/>
    </w:rPr>
  </w:style>
  <w:style w:type="paragraph" w:styleId="BalloonText">
    <w:name w:val="Balloon Text"/>
    <w:basedOn w:val="Normal"/>
    <w:link w:val="BalloonTextChar"/>
    <w:rsid w:val="00EA55EB"/>
    <w:rPr>
      <w:rFonts w:ascii="Tahoma" w:hAnsi="Tahoma" w:cs="Tahoma"/>
      <w:sz w:val="16"/>
      <w:szCs w:val="16"/>
    </w:rPr>
  </w:style>
  <w:style w:type="character" w:customStyle="1" w:styleId="BalloonTextChar">
    <w:name w:val="Balloon Text Char"/>
    <w:basedOn w:val="DefaultParagraphFont"/>
    <w:link w:val="BalloonText"/>
    <w:rsid w:val="00EA5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5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5EB"/>
    <w:rPr>
      <w:b/>
      <w:color w:val="660033"/>
      <w:spacing w:val="0"/>
    </w:rPr>
  </w:style>
  <w:style w:type="paragraph" w:customStyle="1" w:styleId="Nameditemlist">
    <w:name w:val="Named item list"/>
    <w:basedOn w:val="BodyText"/>
    <w:qFormat/>
    <w:rsid w:val="00EA55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933</Words>
  <Characters>5614</Characters>
  <Application>Microsoft Office Word</Application>
  <DocSecurity>0</DocSecurity>
  <Lines>177</Lines>
  <Paragraphs>92</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AHCSDT409A Perform a tetrazolium seed viability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2012-10-12T06:30:00Z</dcterms:created>
  <dcterms:modified xsi:type="dcterms:W3CDTF">2012-10-12T06:30:00Z</dcterms:modified>
</cp:coreProperties>
</file>