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CAE" w:rsidP="005C3CAE">
      <w:pPr>
        <w:pStyle w:val="Title"/>
      </w:pPr>
      <w:bookmarkStart w:id="0" w:name="_GoBack"/>
      <w:bookmarkEnd w:id="0"/>
      <w:r>
        <w:fldChar w:fldCharType="begin"/>
      </w:r>
      <w:r>
        <w:instrText xml:space="preserve"> TITLE   \* MERGEFORMAT </w:instrText>
      </w:r>
      <w:r>
        <w:fldChar w:fldCharType="separate"/>
      </w:r>
      <w:r>
        <w:t>AHCSDT402A Prepare and maintain a seed reference collection</w:t>
      </w:r>
      <w:r>
        <w:fldChar w:fldCharType="end"/>
      </w:r>
    </w:p>
    <w:p w:rsidR="005C3CAE" w:rsidP="005C3CAE">
      <w:pPr>
        <w:pStyle w:val="Version"/>
        <w:sectPr w:rsidSect="00AB3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75F" w:rsidP="00AB375F">
      <w:pPr>
        <w:pStyle w:val="SuperHeading"/>
      </w:pPr>
      <w:r w:rsidRPr="00AB375F">
        <w:t>AHCSDT402A Prepare and maintain a seed reference collection</w:t>
      </w:r>
    </w:p>
    <w:p w:rsidR="00000000" w:rsidRPr="00AB375F" w:rsidP="00AB375F">
      <w:pPr>
        <w:pStyle w:val="Heading1"/>
      </w:pPr>
      <w:bookmarkStart w:id="1" w:name="O_469460"/>
      <w:bookmarkEnd w:id="1"/>
      <w:r w:rsidRPr="00AB375F">
        <w:t>Modification History</w:t>
      </w:r>
    </w:p>
    <w:tbl>
      <w:tblPr>
        <w:tblW w:w="0" w:type="auto"/>
        <w:tblLayout w:type="fixed"/>
        <w:tblCellMar>
          <w:left w:w="62" w:type="dxa"/>
          <w:right w:w="62" w:type="dxa"/>
        </w:tblCellMar>
        <w:tblLook w:val="0000"/>
      </w:tblPr>
      <w:tblGrid>
        <w:gridCol w:w="1803"/>
        <w:gridCol w:w="2247"/>
        <w:gridCol w:w="5084"/>
      </w:tblGrid>
      <w:tr w:rsidTr="005C3CA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75F" w:rsidP="00AB375F">
            <w:pPr>
              <w:pStyle w:val="BodyText"/>
            </w:pPr>
            <w:r w:rsidRPr="00AB375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75F" w:rsidP="00AB375F">
            <w:pPr>
              <w:pStyle w:val="BodyText"/>
            </w:pPr>
            <w:r w:rsidRPr="00AB375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rPr>
                <w:rStyle w:val="SpecialBold"/>
              </w:rPr>
              <w:t>Comments</w:t>
            </w:r>
          </w:p>
        </w:tc>
      </w:tr>
      <w:tr w:rsidTr="005C3CA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75F" w:rsidP="00AB375F">
            <w:pPr>
              <w:pStyle w:val="BodyText"/>
            </w:pPr>
            <w:r w:rsidRPr="00AB375F">
              <w:t>Initial release</w:t>
            </w:r>
          </w:p>
        </w:tc>
      </w:tr>
    </w:tbl>
    <w:p w:rsidR="00000000" w:rsidRPr="00AB375F" w:rsidP="00AB375F">
      <w:pPr>
        <w:pStyle w:val="BodyText"/>
      </w:pPr>
    </w:p>
    <w:p w:rsidR="00000000" w:rsidRPr="00AB375F" w:rsidP="00AB375F">
      <w:pPr>
        <w:pStyle w:val="AllowPageBreak"/>
      </w:pPr>
    </w:p>
    <w:p w:rsidR="00000000" w:rsidRPr="00AB375F" w:rsidP="00AB375F">
      <w:pPr>
        <w:pStyle w:val="Heading1"/>
      </w:pPr>
      <w:bookmarkStart w:id="2" w:name="O_469461"/>
      <w:bookmarkEnd w:id="2"/>
      <w:r w:rsidRPr="00AB375F">
        <w:t>Unit Descriptor</w:t>
      </w:r>
    </w:p>
    <w:p w:rsidR="00000000" w:rsidRPr="00AB375F" w:rsidP="00AB375F">
      <w:pPr>
        <w:pStyle w:val="BodyText"/>
      </w:pPr>
      <w:r w:rsidRPr="00AB375F">
        <w:t>This Unit covers the preparation and maintenance of a seed reference collection that can be used in the identification of seeds and which enables the quality control of laboratory procedures. This Unit does not include the botanical</w:t>
      </w:r>
      <w:r w:rsidRPr="00AB375F">
        <w:t xml:space="preserve"> identification of seeds.</w:t>
      </w:r>
    </w:p>
    <w:p w:rsidR="00000000" w:rsidRPr="00AB375F" w:rsidP="00AB375F">
      <w:pPr>
        <w:pStyle w:val="AllowPageBreak"/>
      </w:pPr>
    </w:p>
    <w:p w:rsidR="00000000" w:rsidRPr="00AB375F" w:rsidP="00AB375F">
      <w:pPr>
        <w:pStyle w:val="Heading1"/>
      </w:pPr>
      <w:bookmarkStart w:id="3" w:name="O_469462"/>
      <w:bookmarkEnd w:id="3"/>
      <w:r w:rsidRPr="00AB375F">
        <w:t>Application of the Unit</w:t>
      </w:r>
    </w:p>
    <w:p w:rsidR="00000000" w:rsidRPr="00AB375F" w:rsidP="00AB375F">
      <w:pPr>
        <w:pStyle w:val="BodyText"/>
      </w:pPr>
      <w:r w:rsidRPr="00AB375F">
        <w:t>This Unit applies to senior seed analysts working within enterprise guidelines. In general, they oversee the preparation of samples for testing; conduct and supervise specified tests in acc</w:t>
      </w:r>
      <w:r w:rsidRPr="00AB375F">
        <w:t>ordance with enterprise requirements; interpret and report results; maintain record-keeping systems; and have responsibility for overall laboratory operations, the supervision of staff, and implementation of quality assurance procedures.</w:t>
      </w:r>
    </w:p>
    <w:p w:rsidR="00000000" w:rsidRPr="00AB375F" w:rsidP="00AB375F">
      <w:pPr>
        <w:pStyle w:val="AllowPageBreak"/>
      </w:pPr>
    </w:p>
    <w:p w:rsidR="00000000" w:rsidRPr="00AB375F" w:rsidP="00AB375F">
      <w:pPr>
        <w:pStyle w:val="Heading1"/>
      </w:pPr>
      <w:bookmarkStart w:id="4" w:name="O_469463"/>
      <w:bookmarkEnd w:id="4"/>
      <w:r w:rsidRPr="00AB375F">
        <w:t>L</w:t>
      </w:r>
      <w:r w:rsidRPr="00AB375F">
        <w:t>icensing/Regulatory Information</w:t>
      </w:r>
    </w:p>
    <w:p w:rsidR="00000000" w:rsidRPr="00AB375F" w:rsidP="00AB375F">
      <w:pPr>
        <w:pStyle w:val="BodyText"/>
      </w:pPr>
      <w:r w:rsidRPr="00AB375F">
        <w:t>Not applicable.</w:t>
      </w:r>
    </w:p>
    <w:p w:rsidR="00000000" w:rsidRPr="00AB375F" w:rsidP="00AB375F">
      <w:pPr>
        <w:pStyle w:val="AllowPageBreak"/>
      </w:pPr>
    </w:p>
    <w:p w:rsidR="00000000" w:rsidRPr="00AB375F" w:rsidP="00AB375F">
      <w:pPr>
        <w:pStyle w:val="Heading1"/>
      </w:pPr>
      <w:bookmarkStart w:id="5" w:name="O_469464"/>
      <w:bookmarkEnd w:id="5"/>
      <w:r w:rsidRPr="00AB375F">
        <w:t>Pre-Requisites</w:t>
      </w:r>
    </w:p>
    <w:p w:rsidR="00000000" w:rsidRPr="00AB375F" w:rsidP="00AB375F">
      <w:pPr>
        <w:pStyle w:val="BodyText"/>
      </w:pPr>
      <w:r w:rsidRPr="00AB375F">
        <w:t>Nil.</w:t>
      </w:r>
    </w:p>
    <w:p w:rsidR="00000000" w:rsidRPr="00AB375F" w:rsidP="00AB375F">
      <w:pPr>
        <w:pStyle w:val="AllowPageBreak"/>
      </w:pPr>
    </w:p>
    <w:p w:rsidR="00000000" w:rsidRPr="00AB375F" w:rsidP="00AB375F">
      <w:pPr>
        <w:pStyle w:val="Heading1"/>
      </w:pPr>
      <w:bookmarkStart w:id="6" w:name="O_469465"/>
      <w:bookmarkEnd w:id="6"/>
      <w:r w:rsidRPr="00AB375F">
        <w:t>Employability Skills Information</w:t>
      </w:r>
    </w:p>
    <w:p w:rsidR="00000000" w:rsidRPr="00AB375F" w:rsidP="00AB375F">
      <w:pPr>
        <w:pStyle w:val="BodyText"/>
      </w:pPr>
      <w:r w:rsidRPr="00AB375F">
        <w:t>This Unit contains employability skills.</w:t>
      </w:r>
    </w:p>
    <w:p w:rsidR="00000000" w:rsidRPr="00AB375F" w:rsidP="00AB375F">
      <w:pPr>
        <w:pStyle w:val="AllowPageBreak"/>
      </w:pPr>
    </w:p>
    <w:p w:rsidR="00000000" w:rsidRPr="00AB375F" w:rsidP="00AB375F">
      <w:pPr>
        <w:pStyle w:val="Heading1"/>
      </w:pPr>
      <w:bookmarkStart w:id="7" w:name="O_469466"/>
      <w:bookmarkEnd w:id="7"/>
      <w:r w:rsidRPr="00AB375F">
        <w:t>Elements and Performance Criteria Pre-Content</w:t>
      </w:r>
    </w:p>
    <w:tbl>
      <w:tblPr>
        <w:tblW w:w="0" w:type="auto"/>
        <w:tblLayout w:type="fixed"/>
        <w:tblCellMar>
          <w:left w:w="62" w:type="dxa"/>
          <w:right w:w="62" w:type="dxa"/>
        </w:tblCellMar>
        <w:tblLook w:val="0000"/>
      </w:tblPr>
      <w:tblGrid>
        <w:gridCol w:w="2760"/>
        <w:gridCol w:w="6312"/>
      </w:tblGrid>
      <w:tr w:rsidTr="00AB37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375F">
            <w:pPr>
              <w:pStyle w:val="BodyText"/>
              <w:rPr>
                <w:lang w:val="en-NZ"/>
              </w:rPr>
            </w:pPr>
            <w:r w:rsidRPr="00AB375F">
              <w:t>Elements describe</w:t>
            </w:r>
            <w:r w:rsidRPr="00AB375F">
              <w:t xml:space="preserv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B375F" w:rsidP="00AB375F">
            <w:pPr>
              <w:pStyle w:val="BodyText"/>
            </w:pPr>
            <w:r w:rsidRPr="00AB375F">
              <w:t>Performance criteria describe the performance needed to demonstrate achievement of the element. Where bold italicised text is used, further information is detailed in the required skills and knowledge sectio</w:t>
            </w:r>
            <w:r w:rsidRPr="00AB375F">
              <w:t>n and the range statement. Assessment of performance is to be consistent with the evidence guide.</w:t>
            </w:r>
          </w:p>
        </w:tc>
      </w:tr>
    </w:tbl>
    <w:p w:rsidR="00000000" w:rsidRPr="00AB375F" w:rsidP="00AB375F">
      <w:pPr>
        <w:pStyle w:val="BodyText"/>
      </w:pPr>
    </w:p>
    <w:p w:rsidR="00000000" w:rsidRPr="00AB375F" w:rsidP="00AB375F">
      <w:pPr>
        <w:pStyle w:val="AllowPageBreak"/>
      </w:pPr>
    </w:p>
    <w:p w:rsidR="00000000" w:rsidRPr="00AB375F" w:rsidP="00AB375F">
      <w:pPr>
        <w:pStyle w:val="Heading1"/>
      </w:pPr>
      <w:bookmarkStart w:id="8" w:name="O_469467"/>
      <w:bookmarkEnd w:id="8"/>
      <w:r w:rsidRPr="00AB375F">
        <w:t>Elements and Performance Criteria</w:t>
      </w:r>
    </w:p>
    <w:tbl>
      <w:tblPr>
        <w:tblW w:w="0" w:type="auto"/>
        <w:tblLayout w:type="fixed"/>
        <w:tblCellMar>
          <w:left w:w="62" w:type="dxa"/>
          <w:right w:w="62" w:type="dxa"/>
        </w:tblCellMar>
        <w:tblLook w:val="0000"/>
      </w:tblPr>
      <w:tblGrid>
        <w:gridCol w:w="2760"/>
        <w:gridCol w:w="6312"/>
      </w:tblGrid>
      <w:tr w:rsidTr="00AB37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375F">
            <w:pPr>
              <w:pStyle w:val="List"/>
              <w:rPr>
                <w:lang w:val="en-NZ"/>
              </w:rPr>
            </w:pPr>
            <w:r w:rsidRPr="00AB375F">
              <w:t>1.</w:t>
            </w:r>
            <w:r w:rsidRPr="00AB375F">
              <w:tab/>
              <w:t>Acquire responsibility for a seed reference collection</w:t>
            </w:r>
          </w:p>
        </w:tc>
        <w:tc>
          <w:tcPr>
            <w:tcW w:w="6312" w:type="dxa"/>
            <w:tcBorders>
              <w:top w:val="nil"/>
              <w:left w:val="nil"/>
              <w:bottom w:val="nil"/>
              <w:right w:val="nil"/>
            </w:tcBorders>
            <w:tcMar>
              <w:top w:w="0" w:type="dxa"/>
              <w:left w:w="62" w:type="dxa"/>
              <w:bottom w:w="0" w:type="dxa"/>
              <w:right w:w="62" w:type="dxa"/>
            </w:tcMar>
          </w:tcPr>
          <w:p w:rsidR="00000000" w:rsidRPr="00AB375F" w:rsidP="00AB375F">
            <w:pPr>
              <w:pStyle w:val="List"/>
            </w:pPr>
            <w:r w:rsidRPr="00AB375F">
              <w:t>1.1</w:t>
            </w:r>
            <w:r w:rsidRPr="00AB375F">
              <w:tab/>
            </w:r>
            <w:r w:rsidRPr="00AB375F">
              <w:t>Standard operating procedures for maintaining a seed reference collection are reviewed.</w:t>
            </w:r>
          </w:p>
          <w:p w:rsidR="00000000" w:rsidRPr="00AB375F" w:rsidP="00AB375F">
            <w:pPr>
              <w:pStyle w:val="List"/>
            </w:pPr>
            <w:r w:rsidRPr="00AB375F">
              <w:t>1.2</w:t>
            </w:r>
            <w:r w:rsidRPr="00AB375F">
              <w:tab/>
              <w:t>Existing seed reference materials are checked to ensure labels and records are up to date.</w:t>
            </w:r>
          </w:p>
          <w:p w:rsidR="00000000" w:rsidRPr="00AB375F" w:rsidP="00AB375F">
            <w:pPr>
              <w:pStyle w:val="List"/>
            </w:pPr>
            <w:r w:rsidRPr="00AB375F">
              <w:t>1.3</w:t>
            </w:r>
            <w:r w:rsidRPr="00AB375F">
              <w:tab/>
              <w:t xml:space="preserve">Seed collection complies with </w:t>
            </w:r>
            <w:r w:rsidRPr="00AB375F">
              <w:rPr>
                <w:rStyle w:val="BoldandItalics"/>
              </w:rPr>
              <w:t>industry protocols.</w:t>
            </w:r>
          </w:p>
          <w:p w:rsidR="00000000" w:rsidRPr="00AB375F" w:rsidP="00AB375F">
            <w:pPr>
              <w:pStyle w:val="List"/>
            </w:pPr>
            <w:r w:rsidRPr="00AB375F">
              <w:t>1.4</w:t>
            </w:r>
            <w:r w:rsidRPr="00AB375F">
              <w:tab/>
              <w:t xml:space="preserve">Procedures for </w:t>
            </w:r>
            <w:r w:rsidRPr="00AB375F">
              <w:t>introducing new seeds to the collection are confirmed.</w:t>
            </w:r>
          </w:p>
          <w:p w:rsidR="00000000" w:rsidP="00AB375F">
            <w:pPr>
              <w:pStyle w:val="List"/>
              <w:rPr>
                <w:lang w:val="en-NZ"/>
              </w:rPr>
            </w:pPr>
            <w:r w:rsidRPr="00AB375F">
              <w:t>1.5</w:t>
            </w:r>
            <w:r w:rsidRPr="00AB375F">
              <w:tab/>
              <w:t>Record keeping and staff access arrangements are established.</w:t>
            </w:r>
          </w:p>
        </w:tc>
      </w:tr>
      <w:tr w:rsidTr="00AB37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375F">
            <w:pPr>
              <w:pStyle w:val="List"/>
              <w:rPr>
                <w:lang w:val="en-NZ"/>
              </w:rPr>
            </w:pPr>
            <w:r w:rsidRPr="00AB375F">
              <w:t>2.</w:t>
            </w:r>
            <w:r w:rsidRPr="00AB375F">
              <w:tab/>
              <w:t>Maintain a seed reference collection</w:t>
            </w:r>
          </w:p>
        </w:tc>
        <w:tc>
          <w:tcPr>
            <w:tcW w:w="6312" w:type="dxa"/>
            <w:tcBorders>
              <w:top w:val="nil"/>
              <w:left w:val="nil"/>
              <w:bottom w:val="nil"/>
              <w:right w:val="nil"/>
            </w:tcBorders>
            <w:tcMar>
              <w:top w:w="0" w:type="dxa"/>
              <w:left w:w="62" w:type="dxa"/>
              <w:bottom w:w="0" w:type="dxa"/>
              <w:right w:w="62" w:type="dxa"/>
            </w:tcMar>
          </w:tcPr>
          <w:p w:rsidR="00000000" w:rsidRPr="00AB375F" w:rsidP="00AB375F">
            <w:pPr>
              <w:pStyle w:val="List"/>
            </w:pPr>
            <w:r w:rsidRPr="00AB375F">
              <w:t>2.1</w:t>
            </w:r>
            <w:r w:rsidRPr="00AB375F">
              <w:tab/>
              <w:t>Storage conditions are reviewed to ensure that they comply with SOPs.</w:t>
            </w:r>
          </w:p>
          <w:p w:rsidR="00000000" w:rsidRPr="00AB375F" w:rsidP="00AB375F">
            <w:pPr>
              <w:pStyle w:val="List"/>
            </w:pPr>
            <w:r w:rsidRPr="00AB375F">
              <w:t>2.2</w:t>
            </w:r>
            <w:r w:rsidRPr="00AB375F">
              <w:tab/>
              <w:t>Storage conditio</w:t>
            </w:r>
            <w:r w:rsidRPr="00AB375F">
              <w:t>ns are monitored to ensure seeds remain in good condition.</w:t>
            </w:r>
          </w:p>
          <w:p w:rsidR="00000000" w:rsidRPr="00AB375F" w:rsidP="00AB375F">
            <w:pPr>
              <w:pStyle w:val="List"/>
            </w:pPr>
            <w:r w:rsidRPr="00AB375F">
              <w:t>2.3</w:t>
            </w:r>
            <w:r w:rsidRPr="00AB375F">
              <w:tab/>
              <w:t>Collection and records are updated as new seeds are added.</w:t>
            </w:r>
          </w:p>
          <w:p w:rsidR="00000000" w:rsidP="00AB375F">
            <w:pPr>
              <w:pStyle w:val="List"/>
              <w:rPr>
                <w:lang w:val="en-NZ"/>
              </w:rPr>
            </w:pPr>
            <w:r w:rsidRPr="00AB375F">
              <w:t>2.4</w:t>
            </w:r>
            <w:r w:rsidRPr="00AB375F">
              <w:tab/>
              <w:t>Indicators of deterioration of seed in collection are advised to management.</w:t>
            </w:r>
          </w:p>
        </w:tc>
      </w:tr>
      <w:tr w:rsidTr="00AB37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375F">
            <w:pPr>
              <w:pStyle w:val="List"/>
              <w:rPr>
                <w:lang w:val="en-NZ"/>
              </w:rPr>
            </w:pPr>
            <w:r w:rsidRPr="00AB375F">
              <w:t>3.</w:t>
            </w:r>
            <w:r w:rsidRPr="00AB375F">
              <w:tab/>
              <w:t>Update the reference collection</w:t>
            </w:r>
          </w:p>
        </w:tc>
        <w:tc>
          <w:tcPr>
            <w:tcW w:w="6312" w:type="dxa"/>
            <w:tcBorders>
              <w:top w:val="nil"/>
              <w:left w:val="nil"/>
              <w:bottom w:val="nil"/>
              <w:right w:val="nil"/>
            </w:tcBorders>
            <w:tcMar>
              <w:top w:w="0" w:type="dxa"/>
              <w:left w:w="62" w:type="dxa"/>
              <w:bottom w:w="0" w:type="dxa"/>
              <w:right w:w="62" w:type="dxa"/>
            </w:tcMar>
          </w:tcPr>
          <w:p w:rsidR="00000000" w:rsidRPr="00AB375F" w:rsidP="00AB375F">
            <w:pPr>
              <w:pStyle w:val="List"/>
            </w:pPr>
            <w:r w:rsidRPr="00AB375F">
              <w:t>3.1</w:t>
            </w:r>
            <w:r w:rsidRPr="00AB375F">
              <w:tab/>
              <w:t>Information a</w:t>
            </w:r>
            <w:r w:rsidRPr="00AB375F">
              <w:t>bout seed is documented and added to the reference collection.</w:t>
            </w:r>
          </w:p>
          <w:p w:rsidR="00000000" w:rsidRPr="00AB375F" w:rsidP="00AB375F">
            <w:pPr>
              <w:pStyle w:val="List"/>
            </w:pPr>
            <w:r w:rsidRPr="00AB375F">
              <w:t>3.2</w:t>
            </w:r>
            <w:r w:rsidRPr="00AB375F">
              <w:tab/>
              <w:t>Reference collection is updated as new seeds are identified according to enterprise guidelines.</w:t>
            </w:r>
          </w:p>
          <w:p w:rsidR="00000000" w:rsidP="00AB375F">
            <w:pPr>
              <w:pStyle w:val="List"/>
              <w:rPr>
                <w:lang w:val="en-NZ"/>
              </w:rPr>
            </w:pPr>
            <w:r w:rsidRPr="00AB375F">
              <w:t>3.3</w:t>
            </w:r>
            <w:r w:rsidRPr="00AB375F">
              <w:tab/>
              <w:t>New materials are sourced as required to maintain currency and relevance of the collectio</w:t>
            </w:r>
            <w:r w:rsidRPr="00AB375F">
              <w:t>n.</w:t>
            </w:r>
          </w:p>
        </w:tc>
      </w:tr>
      <w:tr w:rsidTr="00AB37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375F">
            <w:pPr>
              <w:pStyle w:val="List"/>
              <w:rPr>
                <w:lang w:val="en-NZ"/>
              </w:rPr>
            </w:pPr>
            <w:r w:rsidRPr="00AB375F">
              <w:t>4.</w:t>
            </w:r>
            <w:r w:rsidRPr="00AB375F">
              <w:tab/>
              <w:t>Provide seed reference materials on request</w:t>
            </w:r>
          </w:p>
        </w:tc>
        <w:tc>
          <w:tcPr>
            <w:tcW w:w="6312" w:type="dxa"/>
            <w:tcBorders>
              <w:top w:val="nil"/>
              <w:left w:val="nil"/>
              <w:bottom w:val="nil"/>
              <w:right w:val="nil"/>
            </w:tcBorders>
            <w:tcMar>
              <w:top w:w="0" w:type="dxa"/>
              <w:left w:w="62" w:type="dxa"/>
              <w:bottom w:w="0" w:type="dxa"/>
              <w:right w:w="62" w:type="dxa"/>
            </w:tcMar>
          </w:tcPr>
          <w:p w:rsidR="00000000" w:rsidRPr="00AB375F" w:rsidP="00AB375F">
            <w:pPr>
              <w:pStyle w:val="List"/>
            </w:pPr>
            <w:r w:rsidRPr="00AB375F">
              <w:t>4.1</w:t>
            </w:r>
            <w:r w:rsidRPr="00AB375F">
              <w:tab/>
              <w:t>Seed reference material is provided, in accordance with enterprise policy , with action taken to prevent contamination.</w:t>
            </w:r>
          </w:p>
          <w:p w:rsidR="00000000" w:rsidRPr="00AB375F" w:rsidP="00AB375F">
            <w:pPr>
              <w:pStyle w:val="List"/>
            </w:pPr>
            <w:r w:rsidRPr="00AB375F">
              <w:t>4.2</w:t>
            </w:r>
            <w:r w:rsidRPr="00AB375F">
              <w:tab/>
            </w:r>
            <w:r w:rsidRPr="00AB375F">
              <w:t>External requests for access to the seed reference collection are verified and approved by manager before being processed.</w:t>
            </w:r>
          </w:p>
          <w:p w:rsidR="00000000" w:rsidP="00AB375F">
            <w:pPr>
              <w:pStyle w:val="List"/>
              <w:rPr>
                <w:lang w:val="en-NZ"/>
              </w:rPr>
            </w:pPr>
            <w:r w:rsidRPr="00AB375F">
              <w:t>4.3</w:t>
            </w:r>
            <w:r w:rsidRPr="00AB375F">
              <w:tab/>
              <w:t>Records of access to collection and removal of seeds from collection are maintained.</w:t>
            </w:r>
          </w:p>
        </w:tc>
      </w:tr>
      <w:tr w:rsidTr="00AB37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375F">
            <w:pPr>
              <w:pStyle w:val="List"/>
              <w:rPr>
                <w:lang w:val="en-NZ"/>
              </w:rPr>
            </w:pPr>
            <w:r w:rsidRPr="00AB375F">
              <w:t>5.</w:t>
            </w:r>
            <w:r w:rsidRPr="00AB375F">
              <w:tab/>
              <w:t>Maintain a safe work environment</w:t>
            </w:r>
          </w:p>
        </w:tc>
        <w:tc>
          <w:tcPr>
            <w:tcW w:w="6312" w:type="dxa"/>
            <w:tcBorders>
              <w:top w:val="nil"/>
              <w:left w:val="nil"/>
              <w:bottom w:val="nil"/>
              <w:right w:val="nil"/>
            </w:tcBorders>
            <w:tcMar>
              <w:top w:w="0" w:type="dxa"/>
              <w:left w:w="62" w:type="dxa"/>
              <w:bottom w:w="0" w:type="dxa"/>
              <w:right w:w="62" w:type="dxa"/>
            </w:tcMar>
          </w:tcPr>
          <w:p w:rsidR="00000000" w:rsidRPr="00AB375F" w:rsidP="00AB375F">
            <w:pPr>
              <w:pStyle w:val="List"/>
            </w:pPr>
            <w:r w:rsidRPr="00AB375F">
              <w:t>5.1</w:t>
            </w:r>
            <w:r w:rsidRPr="00AB375F">
              <w:tab/>
              <w:t>Saf</w:t>
            </w:r>
            <w:r w:rsidRPr="00AB375F">
              <w:t>ety and biosecurity protocols are observed when handling and processing seed reference materials.</w:t>
            </w:r>
          </w:p>
          <w:p w:rsidR="00000000" w:rsidRPr="00AB375F" w:rsidP="00AB375F">
            <w:pPr>
              <w:pStyle w:val="List"/>
            </w:pPr>
            <w:r w:rsidRPr="00AB375F">
              <w:t>5.2</w:t>
            </w:r>
            <w:r w:rsidRPr="00AB375F">
              <w:tab/>
              <w:t>Redundant, diseased and outdated seed is disposed of safely and appropriately.</w:t>
            </w:r>
          </w:p>
        </w:tc>
      </w:tr>
    </w:tbl>
    <w:p w:rsidR="00000000" w:rsidRPr="00AB375F" w:rsidP="00AB375F">
      <w:pPr>
        <w:pStyle w:val="BodyText"/>
      </w:pPr>
    </w:p>
    <w:p w:rsidR="00000000" w:rsidRPr="00AB375F" w:rsidP="00AB375F">
      <w:pPr>
        <w:pStyle w:val="AllowPageBreak"/>
      </w:pPr>
    </w:p>
    <w:p w:rsidR="00000000" w:rsidRPr="00AB375F" w:rsidP="00AB375F">
      <w:pPr>
        <w:pStyle w:val="Heading1"/>
      </w:pPr>
      <w:bookmarkStart w:id="9" w:name="O_469468"/>
      <w:bookmarkEnd w:id="9"/>
      <w:r w:rsidRPr="00AB375F">
        <w:t>Required Skills and Knowledge</w:t>
      </w:r>
    </w:p>
    <w:tbl>
      <w:tblPr>
        <w:tblW w:w="0" w:type="auto"/>
        <w:tblLayout w:type="fixed"/>
        <w:tblCellMar>
          <w:left w:w="62" w:type="dxa"/>
          <w:right w:w="62" w:type="dxa"/>
        </w:tblCellMar>
        <w:tblLook w:val="0000"/>
      </w:tblPr>
      <w:tblGrid>
        <w:gridCol w:w="9072"/>
      </w:tblGrid>
      <w:tr w:rsidTr="00AB37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375F">
            <w:pPr>
              <w:pStyle w:val="BodyText"/>
              <w:rPr>
                <w:lang w:val="en-NZ"/>
              </w:rPr>
            </w:pPr>
            <w:r w:rsidRPr="00AB375F">
              <w:t>This section describes the</w:t>
            </w:r>
            <w:r w:rsidRPr="00AB375F">
              <w:t xml:space="preserve"> skills and knowledge required for this Unit.</w:t>
            </w:r>
          </w:p>
        </w:tc>
      </w:tr>
      <w:tr w:rsidTr="00AB37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375F" w:rsidP="00AB375F">
            <w:pPr>
              <w:pStyle w:val="TableHeading"/>
            </w:pPr>
            <w:r w:rsidRPr="00AB375F">
              <w:rPr>
                <w:rStyle w:val="SpecialBold"/>
              </w:rPr>
              <w:t>Required skills include:</w:t>
            </w:r>
          </w:p>
          <w:p w:rsidR="00000000" w:rsidP="00AB375F">
            <w:pPr>
              <w:pStyle w:val="BodyText"/>
              <w:rPr>
                <w:lang w:val="en-NZ"/>
              </w:rPr>
            </w:pPr>
            <w:r w:rsidRPr="00AB375F">
              <w:rPr>
                <w:rStyle w:val="SpecialBold"/>
              </w:rPr>
              <w:t>Ability to:</w:t>
            </w:r>
          </w:p>
        </w:tc>
      </w:tr>
      <w:tr w:rsidTr="00AB37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375F" w:rsidP="00AB375F">
            <w:pPr>
              <w:pStyle w:val="ListBullet"/>
            </w:pPr>
            <w:r w:rsidRPr="00AB375F">
              <w:t>maintain seed specimens so that the reference characteristics and attributes are stable in storage and retrieval</w:t>
            </w:r>
          </w:p>
          <w:p w:rsidR="00000000" w:rsidRPr="00AB375F" w:rsidP="00AB375F">
            <w:pPr>
              <w:pStyle w:val="ListBullet"/>
            </w:pPr>
            <w:r w:rsidRPr="00AB375F">
              <w:t>keep and update records</w:t>
            </w:r>
          </w:p>
          <w:p w:rsidR="00000000" w:rsidP="00AB375F">
            <w:pPr>
              <w:pStyle w:val="ListBullet"/>
              <w:rPr>
                <w:lang w:val="en-NZ"/>
              </w:rPr>
            </w:pPr>
            <w:r w:rsidRPr="00AB375F">
              <w:t>communicate appropriately with management, staff and external parties.</w:t>
            </w:r>
          </w:p>
        </w:tc>
      </w:tr>
      <w:tr w:rsidTr="00AB37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375F" w:rsidP="00AB375F">
            <w:pPr>
              <w:pStyle w:val="TableHeading"/>
            </w:pPr>
            <w:r w:rsidRPr="00AB375F">
              <w:rPr>
                <w:rStyle w:val="SpecialBold"/>
              </w:rPr>
              <w:t>Required knowledge includes:</w:t>
            </w:r>
          </w:p>
          <w:p w:rsidR="00000000" w:rsidP="00AB375F">
            <w:pPr>
              <w:pStyle w:val="BodyText"/>
              <w:rPr>
                <w:lang w:val="en-NZ"/>
              </w:rPr>
            </w:pPr>
            <w:r w:rsidRPr="00AB375F">
              <w:rPr>
                <w:rStyle w:val="SpecialBold"/>
              </w:rPr>
              <w:t>Knowledge of:</w:t>
            </w:r>
          </w:p>
        </w:tc>
      </w:tr>
      <w:tr w:rsidTr="00AB37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375F" w:rsidP="00AB375F">
            <w:pPr>
              <w:pStyle w:val="ListBullet"/>
            </w:pPr>
            <w:r w:rsidRPr="00AB375F">
              <w:t>seed reference collections - what they are, when and why they should be used</w:t>
            </w:r>
          </w:p>
          <w:p w:rsidR="00000000" w:rsidRPr="00AB375F" w:rsidP="00AB375F">
            <w:pPr>
              <w:pStyle w:val="ListBullet"/>
            </w:pPr>
            <w:r w:rsidRPr="00AB375F">
              <w:t>storage requirements of different seed varieties</w:t>
            </w:r>
          </w:p>
          <w:p w:rsidR="00000000" w:rsidRPr="00AB375F" w:rsidP="00AB375F">
            <w:pPr>
              <w:pStyle w:val="ListBullet"/>
            </w:pPr>
            <w:r w:rsidRPr="00AB375F">
              <w:t>quarantine and</w:t>
            </w:r>
            <w:r w:rsidRPr="00AB375F">
              <w:t xml:space="preserve"> isolation procedures </w:t>
            </w:r>
          </w:p>
          <w:p w:rsidR="00000000" w:rsidRPr="00AB375F" w:rsidP="00AB375F">
            <w:pPr>
              <w:pStyle w:val="ListBullet"/>
            </w:pPr>
            <w:r w:rsidRPr="00AB375F">
              <w:t xml:space="preserve">taxonomic nomenclature </w:t>
            </w:r>
          </w:p>
          <w:p w:rsidR="00000000" w:rsidRPr="00AB375F" w:rsidP="00AB375F">
            <w:pPr>
              <w:pStyle w:val="ListBullet"/>
            </w:pPr>
            <w:r w:rsidRPr="00AB375F">
              <w:t>seed biology</w:t>
            </w:r>
          </w:p>
          <w:p w:rsidR="00000000" w:rsidRPr="00AB375F" w:rsidP="00AB375F">
            <w:pPr>
              <w:pStyle w:val="ListBullet"/>
            </w:pPr>
            <w:r w:rsidRPr="00AB375F">
              <w:t>enterprise Standard Operating Procedures (SOPs)</w:t>
            </w:r>
          </w:p>
          <w:p w:rsidR="00000000" w:rsidRPr="00AB375F" w:rsidP="00AB375F">
            <w:pPr>
              <w:pStyle w:val="ListBullet"/>
            </w:pPr>
            <w:r w:rsidRPr="00AB375F">
              <w:t>relevant health, safety and environment requirements.</w:t>
            </w:r>
          </w:p>
        </w:tc>
      </w:tr>
    </w:tbl>
    <w:p w:rsidR="00000000" w:rsidRPr="00AB375F" w:rsidP="00AB375F">
      <w:pPr>
        <w:pStyle w:val="BodyText"/>
      </w:pPr>
    </w:p>
    <w:p w:rsidR="00000000" w:rsidRPr="00AB375F" w:rsidP="00AB375F">
      <w:pPr>
        <w:pStyle w:val="AllowPageBreak"/>
      </w:pPr>
    </w:p>
    <w:p w:rsidR="00000000" w:rsidRPr="00AB375F" w:rsidP="00AB375F">
      <w:pPr>
        <w:pStyle w:val="Heading1"/>
      </w:pPr>
      <w:bookmarkStart w:id="10" w:name="O_469469"/>
      <w:bookmarkEnd w:id="10"/>
      <w:r w:rsidRPr="00AB375F">
        <w:t>Evidence Guide</w:t>
      </w:r>
    </w:p>
    <w:tbl>
      <w:tblPr>
        <w:tblW w:w="0" w:type="auto"/>
        <w:tblLayout w:type="fixed"/>
        <w:tblCellMar>
          <w:left w:w="62" w:type="dxa"/>
          <w:right w:w="62" w:type="dxa"/>
        </w:tblCellMar>
        <w:tblLook w:val="0000"/>
      </w:tblPr>
      <w:tblGrid>
        <w:gridCol w:w="3674"/>
        <w:gridCol w:w="5398"/>
      </w:tblGrid>
      <w:tr w:rsidTr="00AB375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The evidence guide provides advice on assessment and must be read in conjunction with the performance criteria, required skills and knowledge, range statement and the Assessment Guidelines for the Training Package.</w:t>
            </w:r>
          </w:p>
        </w:tc>
      </w:tr>
      <w:tr w:rsidTr="00AB375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p>
        </w:tc>
      </w:tr>
      <w:tr w:rsidTr="00AB375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Critical aspec</w:t>
            </w:r>
            <w:r w:rsidRPr="00AB375F">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75F" w:rsidP="00AB375F">
            <w:pPr>
              <w:pStyle w:val="BodyText"/>
            </w:pPr>
            <w:r w:rsidRPr="00AB375F">
              <w:t>The evidence required to demonstrate competency in this Unit must be relevant to workplace operations and satisfy holistically all of the requirements of the performance criteri</w:t>
            </w:r>
            <w:r w:rsidRPr="00AB375F">
              <w:t>a and required skills and knowledge and include achievement of the following:</w:t>
            </w:r>
          </w:p>
          <w:p w:rsidR="00000000" w:rsidRPr="00AB375F" w:rsidP="00AB375F">
            <w:pPr>
              <w:pStyle w:val="ListBullet"/>
            </w:pPr>
            <w:r w:rsidRPr="00AB375F">
              <w:t>maintain and update a seed collection</w:t>
            </w:r>
          </w:p>
          <w:p w:rsidR="00000000" w:rsidRPr="00AB375F" w:rsidP="00AB375F">
            <w:pPr>
              <w:pStyle w:val="ListBullet"/>
            </w:pPr>
            <w:r w:rsidRPr="00AB375F">
              <w:t>source new materials</w:t>
            </w:r>
          </w:p>
          <w:p w:rsidR="00000000" w:rsidRPr="00AB375F" w:rsidP="00AB375F">
            <w:pPr>
              <w:pStyle w:val="ListBullet"/>
            </w:pPr>
            <w:r w:rsidRPr="00AB375F">
              <w:t>keep records</w:t>
            </w:r>
          </w:p>
          <w:p w:rsidR="00000000" w:rsidP="00AB375F">
            <w:pPr>
              <w:pStyle w:val="ListBullet"/>
              <w:rPr>
                <w:lang w:val="en-NZ"/>
              </w:rPr>
            </w:pPr>
            <w:r w:rsidRPr="00AB375F">
              <w:t>communicate with others.</w:t>
            </w:r>
          </w:p>
        </w:tc>
      </w:tr>
      <w:tr w:rsidTr="00AB375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Competency requires the application of work practices under work conditions. Selection and use of resources for some worksites may differ due to the regional or enterprise circumstances.</w:t>
            </w:r>
          </w:p>
        </w:tc>
      </w:tr>
      <w:tr w:rsidTr="00AB375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This Unit should be assessed together with core</w:t>
            </w:r>
            <w:r w:rsidRPr="00AB375F">
              <w:t xml:space="preserve"> Units and other Units of Competency relevant to the function or work role.</w:t>
            </w:r>
          </w:p>
        </w:tc>
      </w:tr>
      <w:tr w:rsidTr="00AB375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75F" w:rsidP="00AB375F">
            <w:pPr>
              <w:pStyle w:val="BodyText"/>
            </w:pPr>
            <w:r w:rsidRPr="00AB375F">
              <w:t>To ensure consistency of performance, competency should be demonstrated on more than one occasion over a period of time in order to cover a var</w:t>
            </w:r>
            <w:r w:rsidRPr="00AB375F">
              <w:t>iety of circumstances, cases and responsibilities, and where possible, over a number of assessment activities.</w:t>
            </w:r>
          </w:p>
        </w:tc>
      </w:tr>
    </w:tbl>
    <w:p w:rsidR="00000000" w:rsidRPr="00AB375F" w:rsidP="00AB375F">
      <w:pPr>
        <w:pStyle w:val="BodyText"/>
      </w:pPr>
    </w:p>
    <w:p w:rsidR="00000000" w:rsidRPr="00AB375F" w:rsidP="00AB375F">
      <w:pPr>
        <w:pStyle w:val="AllowPageBreak"/>
      </w:pPr>
    </w:p>
    <w:p w:rsidR="00000000" w:rsidRPr="00AB375F" w:rsidP="00AB375F">
      <w:pPr>
        <w:pStyle w:val="Heading1"/>
      </w:pPr>
      <w:bookmarkStart w:id="11" w:name="O_469470"/>
      <w:bookmarkEnd w:id="11"/>
      <w:r w:rsidRPr="00AB375F">
        <w:t>Range Statement</w:t>
      </w:r>
    </w:p>
    <w:tbl>
      <w:tblPr>
        <w:tblW w:w="0" w:type="auto"/>
        <w:tblLayout w:type="fixed"/>
        <w:tblCellMar>
          <w:left w:w="62" w:type="dxa"/>
          <w:right w:w="62" w:type="dxa"/>
        </w:tblCellMar>
        <w:tblLook w:val="0000"/>
      </w:tblPr>
      <w:tblGrid>
        <w:gridCol w:w="3674"/>
        <w:gridCol w:w="5398"/>
      </w:tblGrid>
      <w:tr w:rsidTr="00AB375F">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t>The range statement relates to the Unit of Competency as a whole. It allows for different work environments an</w:t>
            </w:r>
            <w:r w:rsidRPr="00AB375F">
              <w:t>d situations that may affect performance. Bold italicised wording, if used in the performance criteria, is detailed below. Essential operating conditions that may be present with training and assessment (depending on the work situation, needs of the candid</w:t>
            </w:r>
            <w:r w:rsidRPr="00AB375F">
              <w:t>ate, accessibility of the item, and local industry and regional contexts) may also be included.</w:t>
            </w:r>
          </w:p>
        </w:tc>
      </w:tr>
      <w:tr w:rsidTr="00AB375F">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75F">
            <w:pPr>
              <w:pStyle w:val="BodyText"/>
              <w:rPr>
                <w:lang w:val="en-NZ"/>
              </w:rPr>
            </w:pPr>
            <w:r w:rsidRPr="00AB375F">
              <w:rPr>
                <w:rStyle w:val="BoldandItalics"/>
              </w:rPr>
              <w:t>Industry protocols</w:t>
            </w:r>
            <w:r w:rsidRPr="00AB375F">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75F" w:rsidP="00AB375F">
            <w:pPr>
              <w:pStyle w:val="BodyText"/>
            </w:pPr>
            <w:r w:rsidRPr="00AB375F">
              <w:t>ISTA’s "Universal List of Species"; laboratory’s scope of accreditation.</w:t>
            </w:r>
          </w:p>
        </w:tc>
      </w:tr>
    </w:tbl>
    <w:p w:rsidR="00000000" w:rsidRPr="00AB375F" w:rsidP="00AB375F">
      <w:pPr>
        <w:pStyle w:val="BodyText"/>
      </w:pPr>
    </w:p>
    <w:p w:rsidR="00000000" w:rsidRPr="00AB375F" w:rsidP="00AB375F">
      <w:pPr>
        <w:pStyle w:val="AllowPageBreak"/>
      </w:pPr>
    </w:p>
    <w:p w:rsidR="00000000" w:rsidRPr="00AB375F" w:rsidP="00AB375F">
      <w:pPr>
        <w:pStyle w:val="Heading1"/>
      </w:pPr>
      <w:bookmarkStart w:id="12" w:name="O_469471"/>
      <w:bookmarkEnd w:id="12"/>
      <w:r w:rsidRPr="00AB375F">
        <w:t>Unit Sector(s)</w:t>
      </w:r>
    </w:p>
    <w:p w:rsidR="00000000" w:rsidRPr="00AB375F" w:rsidP="00AB375F">
      <w:pPr>
        <w:pStyle w:val="BodyText"/>
      </w:pPr>
      <w:r w:rsidRPr="00AB375F">
        <w:t>Seed Testing</w:t>
      </w:r>
    </w:p>
    <w:p w:rsidR="00000000" w:rsidRPr="00AB375F" w:rsidP="00AB375F"/>
    <w:sectPr w:rsidSect="00AB3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3CAE" w:rsidP="005C3C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AE" w:rsidP="00AB37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3CAE" w:rsidP="00AB37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C3CAE" w:rsidP="00AB37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5F" w:rsidRPr="005C3CAE" w:rsidP="005C3C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CAE" w:rsidRPr="002D2AF8" w:rsidP="00AB375F">
    <w:pPr>
      <w:pStyle w:val="Header"/>
      <w:framePr w:wrap="around"/>
    </w:pPr>
    <w:r>
      <w:fldChar w:fldCharType="begin"/>
    </w:r>
    <w:r>
      <w:instrText xml:space="preserve"> TITLE   \* MERGEFORMAT </w:instrText>
    </w:r>
    <w:r>
      <w:fldChar w:fldCharType="separate"/>
    </w:r>
    <w:r>
      <w:t>AHCSDT402A Prepare and maintain a seed reference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5C3CAE" w:rsidP="00AB3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74F3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75F"/>
    <w:pPr>
      <w:spacing w:before="360" w:after="60"/>
      <w:outlineLvl w:val="0"/>
    </w:pPr>
    <w:rPr>
      <w:sz w:val="32"/>
    </w:rPr>
  </w:style>
  <w:style w:type="paragraph" w:styleId="Heading2">
    <w:name w:val="heading 2"/>
    <w:basedOn w:val="HeadingBase"/>
    <w:next w:val="BodyText"/>
    <w:link w:val="Heading2Char"/>
    <w:qFormat/>
    <w:rsid w:val="00AB375F"/>
    <w:pPr>
      <w:keepLines/>
      <w:spacing w:before="240" w:after="120"/>
      <w:outlineLvl w:val="1"/>
    </w:pPr>
    <w:rPr>
      <w:sz w:val="28"/>
      <w:szCs w:val="40"/>
    </w:rPr>
  </w:style>
  <w:style w:type="paragraph" w:styleId="Heading3">
    <w:name w:val="heading 3"/>
    <w:basedOn w:val="HeadingBase"/>
    <w:next w:val="BodyText"/>
    <w:link w:val="Heading3Char"/>
    <w:qFormat/>
    <w:rsid w:val="00AB375F"/>
    <w:pPr>
      <w:spacing w:before="180" w:after="120"/>
      <w:outlineLvl w:val="2"/>
    </w:pPr>
    <w:rPr>
      <w:spacing w:val="-10"/>
      <w:kern w:val="32"/>
    </w:rPr>
  </w:style>
  <w:style w:type="paragraph" w:styleId="Heading4">
    <w:name w:val="heading 4"/>
    <w:basedOn w:val="HeadingBase"/>
    <w:next w:val="BodyText"/>
    <w:link w:val="Heading4Char"/>
    <w:qFormat/>
    <w:rsid w:val="00AB375F"/>
    <w:pPr>
      <w:spacing w:before="160" w:after="120"/>
      <w:outlineLvl w:val="3"/>
    </w:pPr>
    <w:rPr>
      <w:sz w:val="22"/>
    </w:rPr>
  </w:style>
  <w:style w:type="paragraph" w:styleId="Heading5">
    <w:name w:val="heading 5"/>
    <w:basedOn w:val="HeadingBase"/>
    <w:next w:val="Normal"/>
    <w:link w:val="Heading5Char"/>
    <w:qFormat/>
    <w:rsid w:val="00AB375F"/>
    <w:pPr>
      <w:spacing w:before="80"/>
      <w:outlineLvl w:val="4"/>
    </w:pPr>
    <w:rPr>
      <w:color w:val="918585"/>
      <w:sz w:val="20"/>
    </w:rPr>
  </w:style>
  <w:style w:type="paragraph" w:styleId="Heading6">
    <w:name w:val="heading 6"/>
    <w:basedOn w:val="HeadingBase"/>
    <w:next w:val="Normal"/>
    <w:link w:val="Heading6Char"/>
    <w:qFormat/>
    <w:rsid w:val="00AB375F"/>
    <w:pPr>
      <w:spacing w:before="60"/>
      <w:outlineLvl w:val="5"/>
    </w:pPr>
    <w:rPr>
      <w:color w:val="918585"/>
      <w:sz w:val="20"/>
    </w:rPr>
  </w:style>
  <w:style w:type="paragraph" w:styleId="Heading7">
    <w:name w:val="heading 7"/>
    <w:basedOn w:val="Normal"/>
    <w:next w:val="Normal"/>
    <w:link w:val="Heading7Char"/>
    <w:qFormat/>
    <w:rsid w:val="00AB375F"/>
    <w:pPr>
      <w:ind w:left="720"/>
      <w:outlineLvl w:val="6"/>
    </w:pPr>
    <w:rPr>
      <w:i/>
    </w:rPr>
  </w:style>
  <w:style w:type="paragraph" w:styleId="Heading8">
    <w:name w:val="heading 8"/>
    <w:basedOn w:val="Normal"/>
    <w:next w:val="Normal"/>
    <w:link w:val="Heading8Char"/>
    <w:qFormat/>
    <w:rsid w:val="00AB375F"/>
    <w:pPr>
      <w:ind w:left="720"/>
      <w:outlineLvl w:val="7"/>
    </w:pPr>
    <w:rPr>
      <w:i/>
    </w:rPr>
  </w:style>
  <w:style w:type="paragraph" w:styleId="Heading9">
    <w:name w:val="heading 9"/>
    <w:basedOn w:val="Normal"/>
    <w:next w:val="Normal"/>
    <w:link w:val="Heading9Char"/>
    <w:qFormat/>
    <w:rsid w:val="00AB375F"/>
    <w:pPr>
      <w:ind w:left="720"/>
      <w:outlineLvl w:val="8"/>
    </w:pPr>
    <w:rPr>
      <w:i/>
    </w:rPr>
  </w:style>
  <w:style w:type="character" w:default="1" w:styleId="DefaultParagraphFont">
    <w:name w:val="Default Paragraph Font"/>
    <w:uiPriority w:val="1"/>
    <w:unhideWhenUsed/>
    <w:rsid w:val="00AB3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75F"/>
  </w:style>
  <w:style w:type="character" w:customStyle="1" w:styleId="Heading1Char">
    <w:name w:val="Heading 1 Char"/>
    <w:basedOn w:val="DefaultParagraphFont"/>
    <w:link w:val="Heading1"/>
    <w:rsid w:val="00AB375F"/>
    <w:rPr>
      <w:rFonts w:ascii="Times New Roman" w:eastAsia="Times New Roman" w:hAnsi="Times New Roman" w:cs="Times New Roman"/>
      <w:b/>
      <w:sz w:val="32"/>
      <w:szCs w:val="20"/>
      <w:lang w:eastAsia="en-US"/>
    </w:rPr>
  </w:style>
  <w:style w:type="paragraph" w:styleId="BodyText">
    <w:name w:val="Body Text"/>
    <w:basedOn w:val="Normal"/>
    <w:link w:val="BodyTextChar"/>
    <w:rsid w:val="00AB37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75F"/>
    <w:rPr>
      <w:rFonts w:ascii="Times New Roman" w:eastAsia="Times New Roman" w:hAnsi="Times New Roman" w:cs="Times New Roman"/>
      <w:sz w:val="24"/>
      <w:lang w:eastAsia="en-US"/>
    </w:rPr>
  </w:style>
  <w:style w:type="paragraph" w:styleId="Footer">
    <w:name w:val="footer"/>
    <w:basedOn w:val="Normal"/>
    <w:link w:val="FooterChar"/>
    <w:rsid w:val="00AB3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75F"/>
    <w:rPr>
      <w:rFonts w:ascii="Times New Roman" w:eastAsia="Times New Roman" w:hAnsi="Times New Roman" w:cs="Times New Roman"/>
      <w:sz w:val="16"/>
      <w:lang w:eastAsia="en-US"/>
    </w:rPr>
  </w:style>
  <w:style w:type="paragraph" w:styleId="List">
    <w:name w:val="List"/>
    <w:basedOn w:val="BodyText"/>
    <w:next w:val="BodyText"/>
    <w:rsid w:val="00AB375F"/>
    <w:pPr>
      <w:tabs>
        <w:tab w:val="left" w:pos="340"/>
      </w:tabs>
      <w:spacing w:before="60" w:after="60"/>
      <w:ind w:left="340" w:hanging="340"/>
    </w:pPr>
  </w:style>
  <w:style w:type="paragraph" w:styleId="ListBullet">
    <w:name w:val="List Bullet"/>
    <w:basedOn w:val="List"/>
    <w:rsid w:val="00AB375F"/>
    <w:pPr>
      <w:numPr>
        <w:numId w:val="12"/>
      </w:numPr>
      <w:tabs>
        <w:tab w:val="clear" w:pos="340"/>
      </w:tabs>
      <w:spacing w:before="40" w:after="40"/>
    </w:pPr>
  </w:style>
  <w:style w:type="character" w:customStyle="1" w:styleId="SpecialBold">
    <w:name w:val="Special Bold"/>
    <w:basedOn w:val="DefaultParagraphFont"/>
    <w:rsid w:val="00AB375F"/>
    <w:rPr>
      <w:b/>
      <w:spacing w:val="0"/>
    </w:rPr>
  </w:style>
  <w:style w:type="paragraph" w:customStyle="1" w:styleId="SuperHeading">
    <w:name w:val="SuperHeading"/>
    <w:basedOn w:val="Normal"/>
    <w:rsid w:val="00AB375F"/>
    <w:pPr>
      <w:spacing w:before="240" w:after="120"/>
      <w:outlineLvl w:val="0"/>
    </w:pPr>
    <w:rPr>
      <w:rFonts w:ascii="Times New Roman" w:hAnsi="Times New Roman"/>
      <w:b/>
      <w:sz w:val="28"/>
    </w:rPr>
  </w:style>
  <w:style w:type="paragraph" w:customStyle="1" w:styleId="TableHeading">
    <w:name w:val="Table Heading"/>
    <w:basedOn w:val="HeadingBase"/>
    <w:rsid w:val="00AB375F"/>
    <w:pPr>
      <w:keepLines/>
      <w:pBdr>
        <w:bottom w:val="single" w:sz="6" w:space="1" w:color="918585"/>
      </w:pBdr>
      <w:spacing w:before="240"/>
    </w:pPr>
  </w:style>
  <w:style w:type="paragraph" w:customStyle="1" w:styleId="AllowPageBreak">
    <w:name w:val="AllowPageBreak"/>
    <w:rsid w:val="00AB37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375F"/>
    <w:rPr>
      <w:b/>
      <w:i/>
      <w:u w:val="none"/>
    </w:rPr>
  </w:style>
  <w:style w:type="character" w:customStyle="1" w:styleId="Heading2Char">
    <w:name w:val="Heading 2 Char"/>
    <w:basedOn w:val="DefaultParagraphFont"/>
    <w:link w:val="Heading2"/>
    <w:rsid w:val="00AB3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75F"/>
    <w:rPr>
      <w:rFonts w:ascii="Courier New" w:eastAsia="Times New Roman" w:hAnsi="Courier New" w:cs="Times New Roman"/>
      <w:i/>
      <w:szCs w:val="20"/>
      <w:lang w:eastAsia="en-US"/>
    </w:rPr>
  </w:style>
  <w:style w:type="paragraph" w:customStyle="1" w:styleId="HeadingBase">
    <w:name w:val="Heading Base"/>
    <w:rsid w:val="00AB3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75F"/>
    <w:pPr>
      <w:tabs>
        <w:tab w:val="right" w:leader="dot" w:pos="9072"/>
      </w:tabs>
      <w:ind w:left="567"/>
    </w:pPr>
    <w:rPr>
      <w:szCs w:val="22"/>
    </w:rPr>
  </w:style>
  <w:style w:type="paragraph" w:customStyle="1" w:styleId="TOCBase">
    <w:name w:val="TOC Base"/>
    <w:rsid w:val="00AB3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75F"/>
    <w:pPr>
      <w:tabs>
        <w:tab w:val="right" w:leader="dot" w:pos="9072"/>
      </w:tabs>
      <w:spacing w:before="40" w:after="40"/>
      <w:ind w:left="284"/>
    </w:pPr>
    <w:rPr>
      <w:rFonts w:ascii="Times New Roman" w:hAnsi="Times New Roman"/>
    </w:rPr>
  </w:style>
  <w:style w:type="paragraph" w:styleId="TOC1">
    <w:name w:val="toc 1"/>
    <w:basedOn w:val="TOCBase"/>
    <w:next w:val="Normal"/>
    <w:rsid w:val="00AB37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75F"/>
    <w:pPr>
      <w:spacing w:before="5040"/>
      <w:jc w:val="center"/>
    </w:pPr>
    <w:rPr>
      <w:sz w:val="48"/>
      <w:szCs w:val="72"/>
      <w:lang w:val="en-US"/>
    </w:rPr>
  </w:style>
  <w:style w:type="character" w:customStyle="1" w:styleId="TitleChar">
    <w:name w:val="Title Char"/>
    <w:basedOn w:val="DefaultParagraphFont"/>
    <w:link w:val="Title"/>
    <w:rsid w:val="00AB3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75F"/>
    <w:pPr>
      <w:tabs>
        <w:tab w:val="left" w:pos="3600"/>
        <w:tab w:val="left" w:pos="3958"/>
      </w:tabs>
    </w:pPr>
  </w:style>
  <w:style w:type="paragraph" w:customStyle="1" w:styleId="Note">
    <w:name w:val="Note"/>
    <w:basedOn w:val="BodyText"/>
    <w:rsid w:val="00AB3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75F"/>
    <w:pPr>
      <w:framePr w:wrap="auto" w:hAnchor="text" w:y="6049"/>
    </w:pPr>
    <w:rPr>
      <w:color w:val="000000"/>
      <w:sz w:val="40"/>
    </w:rPr>
  </w:style>
  <w:style w:type="paragraph" w:customStyle="1" w:styleId="TOCTitle">
    <w:name w:val="TOCTitle"/>
    <w:basedOn w:val="Heading1"/>
    <w:rsid w:val="00AB375F"/>
    <w:pPr>
      <w:spacing w:after="240"/>
      <w:jc w:val="center"/>
      <w:outlineLvl w:val="9"/>
    </w:pPr>
    <w:rPr>
      <w:caps/>
    </w:rPr>
  </w:style>
  <w:style w:type="paragraph" w:customStyle="1" w:styleId="Version">
    <w:name w:val="Version"/>
    <w:rsid w:val="00AB37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75F"/>
    <w:pPr>
      <w:numPr>
        <w:numId w:val="13"/>
      </w:numPr>
      <w:tabs>
        <w:tab w:val="clear" w:pos="680"/>
      </w:tabs>
    </w:pPr>
  </w:style>
  <w:style w:type="paragraph" w:styleId="Index1">
    <w:name w:val="index 1"/>
    <w:basedOn w:val="Normal"/>
    <w:next w:val="Normal"/>
    <w:semiHidden/>
    <w:rsid w:val="00AB375F"/>
    <w:pPr>
      <w:keepNext w:val="0"/>
      <w:tabs>
        <w:tab w:val="right" w:pos="4176"/>
      </w:tabs>
      <w:ind w:left="198" w:hanging="198"/>
    </w:pPr>
    <w:rPr>
      <w:rFonts w:ascii="Garamond" w:hAnsi="Garamond"/>
    </w:rPr>
  </w:style>
  <w:style w:type="paragraph" w:styleId="IndexHeading">
    <w:name w:val="index heading"/>
    <w:basedOn w:val="Normal"/>
    <w:next w:val="Index1"/>
    <w:semiHidden/>
    <w:rsid w:val="00AB375F"/>
    <w:pPr>
      <w:spacing w:before="120" w:after="120"/>
    </w:pPr>
    <w:rPr>
      <w:rFonts w:ascii="Arial" w:hAnsi="Arial"/>
      <w:b/>
      <w:color w:val="918585"/>
      <w:sz w:val="24"/>
    </w:rPr>
  </w:style>
  <w:style w:type="paragraph" w:styleId="Header">
    <w:name w:val="header"/>
    <w:basedOn w:val="Normal"/>
    <w:link w:val="HeaderChar"/>
    <w:rsid w:val="00AB3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75F"/>
    <w:rPr>
      <w:rFonts w:ascii="Times New Roman" w:eastAsia="Times New Roman" w:hAnsi="Times New Roman" w:cs="Times New Roman"/>
      <w:sz w:val="16"/>
      <w:szCs w:val="20"/>
      <w:lang w:val="en-GB" w:eastAsia="en-US"/>
    </w:rPr>
  </w:style>
  <w:style w:type="paragraph" w:customStyle="1" w:styleId="Chapter">
    <w:name w:val="Chapter"/>
    <w:basedOn w:val="Normal"/>
    <w:rsid w:val="00AB375F"/>
    <w:pPr>
      <w:spacing w:before="240"/>
    </w:pPr>
    <w:rPr>
      <w:rFonts w:ascii="Times New Roman" w:hAnsi="Times New Roman"/>
      <w:smallCaps/>
      <w:spacing w:val="80"/>
      <w:sz w:val="28"/>
    </w:rPr>
  </w:style>
  <w:style w:type="paragraph" w:customStyle="1" w:styleId="InChapter">
    <w:name w:val="InChapter"/>
    <w:basedOn w:val="Heading3"/>
    <w:rsid w:val="00AB375F"/>
    <w:pPr>
      <w:spacing w:after="240"/>
      <w:outlineLvl w:val="9"/>
    </w:pPr>
    <w:rPr>
      <w:noProof/>
    </w:rPr>
  </w:style>
  <w:style w:type="paragraph" w:styleId="Index2">
    <w:name w:val="index 2"/>
    <w:basedOn w:val="Normal"/>
    <w:next w:val="Normal"/>
    <w:semiHidden/>
    <w:rsid w:val="00AB375F"/>
    <w:pPr>
      <w:tabs>
        <w:tab w:val="right" w:pos="4176"/>
      </w:tabs>
      <w:ind w:left="568" w:hanging="284"/>
    </w:pPr>
    <w:rPr>
      <w:rFonts w:ascii="Garamond" w:hAnsi="Garamond"/>
    </w:rPr>
  </w:style>
  <w:style w:type="paragraph" w:customStyle="1" w:styleId="Byline">
    <w:name w:val="Byline"/>
    <w:rsid w:val="00AB3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75F"/>
    <w:pPr>
      <w:tabs>
        <w:tab w:val="clear" w:pos="3600"/>
        <w:tab w:val="clear" w:pos="3958"/>
      </w:tabs>
      <w:jc w:val="right"/>
    </w:pPr>
  </w:style>
  <w:style w:type="character" w:styleId="Emphasis">
    <w:name w:val="Emphasis"/>
    <w:basedOn w:val="DefaultParagraphFont"/>
    <w:qFormat/>
    <w:rsid w:val="00AB375F"/>
    <w:rPr>
      <w:i/>
    </w:rPr>
  </w:style>
  <w:style w:type="paragraph" w:styleId="Caption">
    <w:name w:val="caption"/>
    <w:basedOn w:val="BodyText"/>
    <w:next w:val="Normal"/>
    <w:qFormat/>
    <w:rsid w:val="00AB375F"/>
    <w:pPr>
      <w:framePr w:w="2268" w:hSpace="181" w:vSpace="181" w:wrap="around" w:vAnchor="text" w:hAnchor="page" w:x="1135" w:y="285" w:anchorLock="1"/>
    </w:pPr>
    <w:rPr>
      <w:i/>
    </w:rPr>
  </w:style>
  <w:style w:type="paragraph" w:customStyle="1" w:styleId="MiniTOCTitle">
    <w:name w:val="MiniTOCTitle"/>
    <w:basedOn w:val="Heading4"/>
    <w:rsid w:val="00AB375F"/>
    <w:pPr>
      <w:spacing w:before="240"/>
      <w:outlineLvl w:val="9"/>
    </w:pPr>
    <w:rPr>
      <w:noProof/>
      <w:sz w:val="24"/>
    </w:rPr>
  </w:style>
  <w:style w:type="paragraph" w:customStyle="1" w:styleId="MiniTOCItem">
    <w:name w:val="MiniTOCItem"/>
    <w:basedOn w:val="ListBullet"/>
    <w:rsid w:val="00AB375F"/>
    <w:pPr>
      <w:numPr>
        <w:numId w:val="0"/>
      </w:numPr>
      <w:tabs>
        <w:tab w:val="right" w:leader="dot" w:pos="6521"/>
      </w:tabs>
      <w:spacing w:before="0" w:after="0"/>
    </w:pPr>
  </w:style>
  <w:style w:type="paragraph" w:customStyle="1" w:styleId="TOFTitle">
    <w:name w:val="TOFTitle"/>
    <w:basedOn w:val="TOCTitle"/>
    <w:rsid w:val="00AB375F"/>
  </w:style>
  <w:style w:type="paragraph" w:styleId="TableofFigures">
    <w:name w:val="table of figures"/>
    <w:basedOn w:val="Normal"/>
    <w:next w:val="Normal"/>
    <w:semiHidden/>
    <w:rsid w:val="00AB375F"/>
    <w:pPr>
      <w:tabs>
        <w:tab w:val="right" w:leader="dot" w:pos="9072"/>
      </w:tabs>
      <w:ind w:left="970" w:hanging="403"/>
    </w:pPr>
    <w:rPr>
      <w:rFonts w:ascii="Times New Roman" w:hAnsi="Times New Roman"/>
      <w:b/>
    </w:rPr>
  </w:style>
  <w:style w:type="paragraph" w:styleId="ListNumber">
    <w:name w:val="List Number"/>
    <w:basedOn w:val="List"/>
    <w:rsid w:val="00AB375F"/>
    <w:pPr>
      <w:numPr>
        <w:numId w:val="10"/>
      </w:numPr>
    </w:pPr>
  </w:style>
  <w:style w:type="character" w:customStyle="1" w:styleId="WingdingSymbols">
    <w:name w:val="Wingding Symbols"/>
    <w:rsid w:val="00AB375F"/>
    <w:rPr>
      <w:rFonts w:ascii="Wingdings" w:hAnsi="Wingdings"/>
    </w:rPr>
  </w:style>
  <w:style w:type="character" w:customStyle="1" w:styleId="HotSpot">
    <w:name w:val="HotSpot"/>
    <w:rsid w:val="00AB375F"/>
    <w:rPr>
      <w:color w:val="0033CC"/>
      <w:u w:val="none"/>
    </w:rPr>
  </w:style>
  <w:style w:type="paragraph" w:customStyle="1" w:styleId="BodyTextRight">
    <w:name w:val="Body Text Right"/>
    <w:basedOn w:val="BodyText"/>
    <w:rsid w:val="00AB375F"/>
    <w:pPr>
      <w:spacing w:before="0" w:after="0"/>
      <w:jc w:val="right"/>
    </w:pPr>
  </w:style>
  <w:style w:type="paragraph" w:styleId="Index3">
    <w:name w:val="index 3"/>
    <w:basedOn w:val="ListNumber2"/>
    <w:next w:val="Normal"/>
    <w:semiHidden/>
    <w:rsid w:val="00AB375F"/>
    <w:pPr>
      <w:numPr>
        <w:numId w:val="0"/>
      </w:numPr>
      <w:tabs>
        <w:tab w:val="right" w:leader="dot" w:pos="4176"/>
      </w:tabs>
    </w:pPr>
  </w:style>
  <w:style w:type="paragraph" w:styleId="ListNumber2">
    <w:name w:val="List Number 2"/>
    <w:basedOn w:val="List2"/>
    <w:rsid w:val="00AB375F"/>
    <w:pPr>
      <w:numPr>
        <w:numId w:val="9"/>
      </w:numPr>
      <w:tabs>
        <w:tab w:val="clear" w:pos="1060"/>
      </w:tabs>
    </w:pPr>
  </w:style>
  <w:style w:type="paragraph" w:customStyle="1" w:styleId="MarginNote">
    <w:name w:val="Margin Note"/>
    <w:basedOn w:val="BodyText"/>
    <w:rsid w:val="00AB3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75F"/>
    <w:rPr>
      <w:sz w:val="32"/>
    </w:rPr>
  </w:style>
  <w:style w:type="paragraph" w:customStyle="1" w:styleId="HeadingProcedure">
    <w:name w:val="Heading Procedure"/>
    <w:basedOn w:val="HeadingBase"/>
    <w:next w:val="Normal"/>
    <w:rsid w:val="00AB375F"/>
    <w:pPr>
      <w:tabs>
        <w:tab w:val="left" w:pos="0"/>
      </w:tabs>
      <w:spacing w:before="120" w:after="60"/>
    </w:pPr>
    <w:rPr>
      <w:i/>
      <w:color w:val="918585"/>
      <w:sz w:val="22"/>
    </w:rPr>
  </w:style>
  <w:style w:type="paragraph" w:customStyle="1" w:styleId="TableBodyText">
    <w:name w:val="Table Body Text"/>
    <w:basedOn w:val="BodyText"/>
    <w:rsid w:val="00AB375F"/>
    <w:pPr>
      <w:spacing w:before="60" w:after="60"/>
    </w:pPr>
  </w:style>
  <w:style w:type="paragraph" w:styleId="ListContinue">
    <w:name w:val="List Continue"/>
    <w:basedOn w:val="List"/>
    <w:rsid w:val="00AB375F"/>
    <w:pPr>
      <w:ind w:firstLine="0"/>
    </w:pPr>
  </w:style>
  <w:style w:type="paragraph" w:customStyle="1" w:styleId="ListNote">
    <w:name w:val="List Note"/>
    <w:basedOn w:val="List"/>
    <w:rsid w:val="00AB375F"/>
    <w:pPr>
      <w:pBdr>
        <w:top w:val="single" w:sz="6" w:space="2" w:color="918585"/>
        <w:bottom w:val="single" w:sz="6" w:space="2" w:color="918585"/>
      </w:pBdr>
      <w:tabs>
        <w:tab w:val="left" w:pos="1021"/>
      </w:tabs>
      <w:ind w:firstLine="0"/>
    </w:pPr>
  </w:style>
  <w:style w:type="paragraph" w:customStyle="1" w:styleId="Warning">
    <w:name w:val="Warning"/>
    <w:basedOn w:val="BodyText"/>
    <w:rsid w:val="00AB375F"/>
    <w:pPr>
      <w:shd w:val="clear" w:color="auto" w:fill="D9D9D9"/>
      <w:tabs>
        <w:tab w:val="left" w:pos="992"/>
      </w:tabs>
      <w:ind w:left="119" w:right="119"/>
    </w:pPr>
    <w:rPr>
      <w:sz w:val="20"/>
    </w:rPr>
  </w:style>
  <w:style w:type="paragraph" w:customStyle="1" w:styleId="MarginIcons">
    <w:name w:val="Margin Icons"/>
    <w:basedOn w:val="BodyText"/>
    <w:rsid w:val="00AB3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75F"/>
    <w:rPr>
      <w:rFonts w:ascii="Courier New" w:hAnsi="Courier New"/>
    </w:rPr>
  </w:style>
  <w:style w:type="paragraph" w:customStyle="1" w:styleId="NoteBullet">
    <w:name w:val="Note Bullet"/>
    <w:basedOn w:val="Note"/>
    <w:rsid w:val="00AB375F"/>
    <w:pPr>
      <w:tabs>
        <w:tab w:val="clear" w:pos="680"/>
      </w:tabs>
      <w:spacing w:before="60" w:after="60"/>
    </w:pPr>
  </w:style>
  <w:style w:type="paragraph" w:customStyle="1" w:styleId="SubHeading2">
    <w:name w:val="SubHeading2"/>
    <w:basedOn w:val="HeadingBase"/>
    <w:rsid w:val="00AB375F"/>
    <w:pPr>
      <w:spacing w:before="240" w:after="60"/>
    </w:pPr>
    <w:rPr>
      <w:sz w:val="20"/>
    </w:rPr>
  </w:style>
  <w:style w:type="paragraph" w:customStyle="1" w:styleId="SubHeading1">
    <w:name w:val="SubHeading1"/>
    <w:basedOn w:val="HeadingBase"/>
    <w:rsid w:val="00AB375F"/>
    <w:pPr>
      <w:spacing w:before="240" w:after="60"/>
    </w:pPr>
    <w:rPr>
      <w:color w:val="918585"/>
      <w:sz w:val="22"/>
    </w:rPr>
  </w:style>
  <w:style w:type="paragraph" w:customStyle="1" w:styleId="SideHeading">
    <w:name w:val="Side Heading"/>
    <w:basedOn w:val="HeadingBase"/>
    <w:rsid w:val="00AB3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75F"/>
    <w:pPr>
      <w:tabs>
        <w:tab w:val="num" w:pos="360"/>
      </w:tabs>
    </w:pPr>
  </w:style>
  <w:style w:type="paragraph" w:styleId="PlainText">
    <w:name w:val="Plain Text"/>
    <w:basedOn w:val="Normal"/>
    <w:link w:val="PlainTextChar"/>
    <w:rsid w:val="00AB375F"/>
    <w:rPr>
      <w:sz w:val="20"/>
    </w:rPr>
  </w:style>
  <w:style w:type="character" w:customStyle="1" w:styleId="PlainTextChar">
    <w:name w:val="Plain Text Char"/>
    <w:basedOn w:val="DefaultParagraphFont"/>
    <w:link w:val="PlainText"/>
    <w:rsid w:val="00AB375F"/>
    <w:rPr>
      <w:rFonts w:ascii="Courier New" w:eastAsia="Times New Roman" w:hAnsi="Courier New" w:cs="Times New Roman"/>
      <w:sz w:val="20"/>
      <w:szCs w:val="20"/>
      <w:lang w:eastAsia="en-US"/>
    </w:rPr>
  </w:style>
  <w:style w:type="character" w:customStyle="1" w:styleId="MenuOption">
    <w:name w:val="Menu Option"/>
    <w:basedOn w:val="DefaultParagraphFont"/>
    <w:rsid w:val="00AB375F"/>
    <w:rPr>
      <w:b/>
      <w:smallCaps/>
    </w:rPr>
  </w:style>
  <w:style w:type="paragraph" w:customStyle="1" w:styleId="TableListNumber">
    <w:name w:val="Table List Number"/>
    <w:basedOn w:val="ListNumber"/>
    <w:rsid w:val="00AB375F"/>
    <w:pPr>
      <w:numPr>
        <w:numId w:val="0"/>
      </w:numPr>
    </w:pPr>
  </w:style>
  <w:style w:type="paragraph" w:styleId="TOC4">
    <w:name w:val="toc 4"/>
    <w:basedOn w:val="TOCBase"/>
    <w:next w:val="Normal"/>
    <w:semiHidden/>
    <w:rsid w:val="00AB375F"/>
    <w:pPr>
      <w:tabs>
        <w:tab w:val="right" w:leader="dot" w:pos="9071"/>
      </w:tabs>
      <w:ind w:left="1701"/>
    </w:pPr>
  </w:style>
  <w:style w:type="paragraph" w:customStyle="1" w:styleId="ListAlpha">
    <w:name w:val="List Alpha"/>
    <w:basedOn w:val="List"/>
    <w:rsid w:val="00AB375F"/>
    <w:pPr>
      <w:numPr>
        <w:numId w:val="8"/>
      </w:numPr>
    </w:pPr>
  </w:style>
  <w:style w:type="paragraph" w:customStyle="1" w:styleId="ListAlpha2">
    <w:name w:val="List Alpha 2"/>
    <w:basedOn w:val="List2"/>
    <w:rsid w:val="00AB375F"/>
    <w:pPr>
      <w:numPr>
        <w:numId w:val="7"/>
      </w:numPr>
    </w:pPr>
  </w:style>
  <w:style w:type="paragraph" w:styleId="List2">
    <w:name w:val="List 2"/>
    <w:basedOn w:val="BodyText"/>
    <w:rsid w:val="00AB375F"/>
    <w:pPr>
      <w:tabs>
        <w:tab w:val="left" w:pos="680"/>
      </w:tabs>
      <w:spacing w:before="60" w:after="60"/>
      <w:ind w:left="680" w:hanging="340"/>
    </w:pPr>
  </w:style>
  <w:style w:type="paragraph" w:styleId="List3">
    <w:name w:val="List 3"/>
    <w:basedOn w:val="BodyText"/>
    <w:rsid w:val="00AB375F"/>
    <w:pPr>
      <w:tabs>
        <w:tab w:val="left" w:pos="1021"/>
      </w:tabs>
      <w:spacing w:before="60" w:after="60"/>
      <w:ind w:left="1020" w:hanging="340"/>
    </w:pPr>
  </w:style>
  <w:style w:type="paragraph" w:styleId="List4">
    <w:name w:val="List 4"/>
    <w:basedOn w:val="BodyText"/>
    <w:rsid w:val="00AB375F"/>
    <w:pPr>
      <w:tabs>
        <w:tab w:val="left" w:pos="1361"/>
      </w:tabs>
      <w:spacing w:before="60" w:after="60"/>
      <w:ind w:left="1361" w:hanging="340"/>
    </w:pPr>
  </w:style>
  <w:style w:type="paragraph" w:styleId="List5">
    <w:name w:val="List 5"/>
    <w:basedOn w:val="BodyText"/>
    <w:rsid w:val="00AB375F"/>
    <w:pPr>
      <w:tabs>
        <w:tab w:val="left" w:pos="1701"/>
      </w:tabs>
      <w:spacing w:before="60" w:after="60"/>
      <w:ind w:left="1701" w:hanging="340"/>
    </w:pPr>
  </w:style>
  <w:style w:type="paragraph" w:styleId="ListBullet3">
    <w:name w:val="List Bullet 3"/>
    <w:basedOn w:val="List3"/>
    <w:rsid w:val="00AB375F"/>
    <w:pPr>
      <w:numPr>
        <w:numId w:val="14"/>
      </w:numPr>
      <w:tabs>
        <w:tab w:val="clear" w:pos="1021"/>
      </w:tabs>
      <w:ind w:left="1037" w:hanging="357"/>
    </w:pPr>
  </w:style>
  <w:style w:type="paragraph" w:styleId="ListBullet4">
    <w:name w:val="List Bullet 4"/>
    <w:basedOn w:val="List4"/>
    <w:rsid w:val="00AB375F"/>
    <w:pPr>
      <w:numPr>
        <w:numId w:val="2"/>
      </w:numPr>
    </w:pPr>
  </w:style>
  <w:style w:type="paragraph" w:styleId="ListBullet5">
    <w:name w:val="List Bullet 5"/>
    <w:basedOn w:val="List5"/>
    <w:rsid w:val="00AB375F"/>
    <w:pPr>
      <w:numPr>
        <w:numId w:val="3"/>
      </w:numPr>
    </w:pPr>
  </w:style>
  <w:style w:type="paragraph" w:styleId="ListContinue2">
    <w:name w:val="List Continue 2"/>
    <w:basedOn w:val="List2"/>
    <w:rsid w:val="00AB375F"/>
    <w:pPr>
      <w:ind w:firstLine="0"/>
    </w:pPr>
  </w:style>
  <w:style w:type="paragraph" w:styleId="ListContinue3">
    <w:name w:val="List Continue 3"/>
    <w:basedOn w:val="List3"/>
    <w:rsid w:val="00AB375F"/>
    <w:pPr>
      <w:ind w:left="1021" w:firstLine="0"/>
    </w:pPr>
  </w:style>
  <w:style w:type="paragraph" w:styleId="ListContinue4">
    <w:name w:val="List Continue 4"/>
    <w:basedOn w:val="List4"/>
    <w:rsid w:val="00AB375F"/>
    <w:pPr>
      <w:ind w:firstLine="0"/>
    </w:pPr>
  </w:style>
  <w:style w:type="paragraph" w:styleId="ListContinue5">
    <w:name w:val="List Continue 5"/>
    <w:basedOn w:val="List5"/>
    <w:rsid w:val="00AB375F"/>
    <w:pPr>
      <w:ind w:firstLine="0"/>
    </w:pPr>
  </w:style>
  <w:style w:type="paragraph" w:styleId="ListNumber3">
    <w:name w:val="List Number 3"/>
    <w:basedOn w:val="List3"/>
    <w:rsid w:val="00AB375F"/>
    <w:pPr>
      <w:numPr>
        <w:numId w:val="4"/>
      </w:numPr>
    </w:pPr>
  </w:style>
  <w:style w:type="paragraph" w:styleId="ListNumber4">
    <w:name w:val="List Number 4"/>
    <w:basedOn w:val="List4"/>
    <w:rsid w:val="00AB375F"/>
    <w:pPr>
      <w:numPr>
        <w:numId w:val="5"/>
      </w:numPr>
    </w:pPr>
  </w:style>
  <w:style w:type="paragraph" w:styleId="ListNumber5">
    <w:name w:val="List Number 5"/>
    <w:basedOn w:val="List5"/>
    <w:rsid w:val="00AB375F"/>
    <w:pPr>
      <w:numPr>
        <w:numId w:val="6"/>
      </w:numPr>
    </w:pPr>
  </w:style>
  <w:style w:type="paragraph" w:styleId="BlockText">
    <w:name w:val="Block Text"/>
    <w:basedOn w:val="Normal"/>
    <w:rsid w:val="00AB375F"/>
    <w:pPr>
      <w:spacing w:after="120"/>
      <w:ind w:left="1440" w:right="1440"/>
    </w:pPr>
  </w:style>
  <w:style w:type="character" w:customStyle="1" w:styleId="Subscript">
    <w:name w:val="Subscript"/>
    <w:basedOn w:val="DefaultParagraphFont"/>
    <w:rsid w:val="00AB375F"/>
    <w:rPr>
      <w:sz w:val="16"/>
      <w:vertAlign w:val="subscript"/>
    </w:rPr>
  </w:style>
  <w:style w:type="character" w:customStyle="1" w:styleId="Superscript">
    <w:name w:val="Superscript"/>
    <w:basedOn w:val="DefaultParagraphFont"/>
    <w:rsid w:val="00AB375F"/>
    <w:rPr>
      <w:sz w:val="16"/>
      <w:vertAlign w:val="superscript"/>
    </w:rPr>
  </w:style>
  <w:style w:type="character" w:customStyle="1" w:styleId="Symbols">
    <w:name w:val="Symbols"/>
    <w:basedOn w:val="DefaultParagraphFont"/>
    <w:rsid w:val="00AB375F"/>
    <w:rPr>
      <w:rFonts w:ascii="Symbol" w:hAnsi="Symbol"/>
    </w:rPr>
  </w:style>
  <w:style w:type="character" w:customStyle="1" w:styleId="MenuOptions">
    <w:name w:val="Menu Options"/>
    <w:basedOn w:val="DefaultParagraphFont"/>
    <w:rsid w:val="00AB375F"/>
    <w:rPr>
      <w:rFonts w:ascii="Arial Narrow" w:hAnsi="Arial Narrow"/>
      <w:smallCaps/>
    </w:rPr>
  </w:style>
  <w:style w:type="character" w:customStyle="1" w:styleId="Buttons">
    <w:name w:val="Buttons"/>
    <w:basedOn w:val="DefaultParagraphFont"/>
    <w:rsid w:val="00AB375F"/>
    <w:rPr>
      <w:b/>
    </w:rPr>
  </w:style>
  <w:style w:type="character" w:customStyle="1" w:styleId="Underlined">
    <w:name w:val="Underlined"/>
    <w:basedOn w:val="DefaultParagraphFont"/>
    <w:rsid w:val="00AB375F"/>
    <w:rPr>
      <w:u w:val="single"/>
    </w:rPr>
  </w:style>
  <w:style w:type="paragraph" w:customStyle="1" w:styleId="TableBodyTextRight">
    <w:name w:val="Table Body Text Right"/>
    <w:basedOn w:val="TableBodyText"/>
    <w:rsid w:val="00AB375F"/>
    <w:pPr>
      <w:widowControl w:val="0"/>
      <w:autoSpaceDE w:val="0"/>
      <w:autoSpaceDN w:val="0"/>
      <w:adjustRightInd w:val="0"/>
      <w:jc w:val="right"/>
    </w:pPr>
    <w:rPr>
      <w:rFonts w:cs="Arial"/>
      <w:szCs w:val="18"/>
    </w:rPr>
  </w:style>
  <w:style w:type="paragraph" w:customStyle="1" w:styleId="CopyrightText">
    <w:name w:val="Copyright Text"/>
    <w:basedOn w:val="BodyText"/>
    <w:rsid w:val="00AB375F"/>
    <w:rPr>
      <w:sz w:val="18"/>
    </w:rPr>
  </w:style>
  <w:style w:type="paragraph" w:customStyle="1" w:styleId="BodySmallRight">
    <w:name w:val="Body Small Right"/>
    <w:basedOn w:val="BodyTextRight"/>
    <w:rsid w:val="00AB375F"/>
    <w:rPr>
      <w:sz w:val="18"/>
      <w:szCs w:val="18"/>
    </w:rPr>
  </w:style>
  <w:style w:type="paragraph" w:customStyle="1" w:styleId="MarginEdition">
    <w:name w:val="Margin Edition"/>
    <w:basedOn w:val="MarginNote"/>
    <w:rsid w:val="00AB375F"/>
    <w:pPr>
      <w:spacing w:before="0" w:after="0"/>
    </w:pPr>
    <w:rPr>
      <w:rFonts w:ascii="Times New Roman" w:hAnsi="Times New Roman"/>
      <w:color w:val="999999"/>
    </w:rPr>
  </w:style>
  <w:style w:type="paragraph" w:customStyle="1" w:styleId="Spacer">
    <w:name w:val="Spacer"/>
    <w:basedOn w:val="Normal"/>
    <w:rsid w:val="00AB375F"/>
    <w:rPr>
      <w:sz w:val="2"/>
      <w:szCs w:val="2"/>
    </w:rPr>
  </w:style>
  <w:style w:type="character" w:customStyle="1" w:styleId="Small">
    <w:name w:val="Small"/>
    <w:basedOn w:val="DefaultParagraphFont"/>
    <w:rsid w:val="00AB375F"/>
    <w:rPr>
      <w:sz w:val="16"/>
    </w:rPr>
  </w:style>
  <w:style w:type="paragraph" w:customStyle="1" w:styleId="WideTable">
    <w:name w:val="Wide Table"/>
    <w:basedOn w:val="Normal"/>
    <w:rsid w:val="00AB375F"/>
    <w:pPr>
      <w:ind w:left="-1418"/>
    </w:pPr>
    <w:rPr>
      <w:sz w:val="2"/>
      <w:szCs w:val="2"/>
    </w:rPr>
  </w:style>
  <w:style w:type="character" w:styleId="PageNumber">
    <w:name w:val="page number"/>
    <w:basedOn w:val="DefaultParagraphFont"/>
    <w:rsid w:val="00AB375F"/>
  </w:style>
  <w:style w:type="paragraph" w:styleId="Quote">
    <w:name w:val="Quote"/>
    <w:basedOn w:val="Heading1"/>
    <w:link w:val="QuoteChar"/>
    <w:qFormat/>
    <w:rsid w:val="00AB375F"/>
    <w:rPr>
      <w:b w:val="0"/>
      <w:sz w:val="72"/>
      <w:szCs w:val="72"/>
      <w:lang w:val="en-NZ"/>
    </w:rPr>
  </w:style>
  <w:style w:type="character" w:customStyle="1" w:styleId="QuoteChar">
    <w:name w:val="Quote Char"/>
    <w:basedOn w:val="DefaultParagraphFont"/>
    <w:link w:val="Quote"/>
    <w:rsid w:val="00AB3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75F"/>
    <w:pPr>
      <w:pageBreakBefore/>
    </w:pPr>
  </w:style>
  <w:style w:type="paragraph" w:customStyle="1" w:styleId="Border">
    <w:name w:val="Border"/>
    <w:basedOn w:val="Normal"/>
    <w:qFormat/>
    <w:rsid w:val="00AB3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75F"/>
    <w:rPr>
      <w:b/>
      <w:bCs/>
      <w:i/>
      <w:iCs/>
      <w:color w:val="auto"/>
    </w:rPr>
  </w:style>
  <w:style w:type="paragraph" w:styleId="IntenseQuote">
    <w:name w:val="Intense Quote"/>
    <w:basedOn w:val="Normal"/>
    <w:next w:val="Normal"/>
    <w:link w:val="IntenseQuoteChar"/>
    <w:uiPriority w:val="30"/>
    <w:qFormat/>
    <w:rsid w:val="00AB3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75F"/>
    <w:rPr>
      <w:smallCaps/>
      <w:color w:val="auto"/>
      <w:u w:val="single"/>
    </w:rPr>
  </w:style>
  <w:style w:type="character" w:styleId="IntenseReference">
    <w:name w:val="Intense Reference"/>
    <w:basedOn w:val="DefaultParagraphFont"/>
    <w:uiPriority w:val="32"/>
    <w:qFormat/>
    <w:rsid w:val="00AB375F"/>
    <w:rPr>
      <w:b/>
      <w:bCs/>
      <w:smallCaps/>
      <w:color w:val="auto"/>
      <w:spacing w:val="5"/>
      <w:u w:val="single"/>
    </w:rPr>
  </w:style>
  <w:style w:type="paragraph" w:customStyle="1" w:styleId="2ColumnHeading">
    <w:name w:val="2Column Heading"/>
    <w:basedOn w:val="BodyText"/>
    <w:qFormat/>
    <w:rsid w:val="00AB375F"/>
    <w:pPr>
      <w:spacing w:after="60"/>
      <w:ind w:left="-2268"/>
    </w:pPr>
    <w:rPr>
      <w:b/>
    </w:rPr>
  </w:style>
  <w:style w:type="paragraph" w:customStyle="1" w:styleId="Heading1TOC">
    <w:name w:val="Heading1 TOC"/>
    <w:basedOn w:val="Normal"/>
    <w:qFormat/>
    <w:rsid w:val="00AB375F"/>
    <w:pPr>
      <w:spacing w:before="240" w:after="120"/>
    </w:pPr>
    <w:rPr>
      <w:rFonts w:ascii="Times New Roman" w:hAnsi="Times New Roman"/>
      <w:b/>
      <w:sz w:val="32"/>
    </w:rPr>
  </w:style>
  <w:style w:type="paragraph" w:customStyle="1" w:styleId="Heading2TOC">
    <w:name w:val="Heading2 TOC"/>
    <w:basedOn w:val="Normal"/>
    <w:qFormat/>
    <w:rsid w:val="00AB375F"/>
    <w:pPr>
      <w:spacing w:before="240" w:after="60"/>
    </w:pPr>
    <w:rPr>
      <w:rFonts w:ascii="Times New Roman" w:hAnsi="Times New Roman"/>
      <w:b/>
      <w:sz w:val="28"/>
    </w:rPr>
  </w:style>
  <w:style w:type="character" w:customStyle="1" w:styleId="Underline">
    <w:name w:val="Underline"/>
    <w:basedOn w:val="DefaultParagraphFont"/>
    <w:qFormat/>
    <w:rsid w:val="00AB375F"/>
    <w:rPr>
      <w:u w:val="single"/>
    </w:rPr>
  </w:style>
  <w:style w:type="paragraph" w:styleId="BalloonText">
    <w:name w:val="Balloon Text"/>
    <w:basedOn w:val="Normal"/>
    <w:link w:val="BalloonTextChar"/>
    <w:rsid w:val="00AB375F"/>
    <w:rPr>
      <w:rFonts w:ascii="Tahoma" w:hAnsi="Tahoma" w:cs="Tahoma"/>
      <w:sz w:val="16"/>
      <w:szCs w:val="16"/>
    </w:rPr>
  </w:style>
  <w:style w:type="character" w:customStyle="1" w:styleId="BalloonTextChar">
    <w:name w:val="Balloon Text Char"/>
    <w:basedOn w:val="DefaultParagraphFont"/>
    <w:link w:val="BalloonText"/>
    <w:rsid w:val="00AB3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7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75F"/>
    <w:rPr>
      <w:b/>
      <w:color w:val="660033"/>
      <w:spacing w:val="0"/>
    </w:rPr>
  </w:style>
  <w:style w:type="paragraph" w:customStyle="1" w:styleId="Nameditemlist">
    <w:name w:val="Named item list"/>
    <w:basedOn w:val="BodyText"/>
    <w:qFormat/>
    <w:rsid w:val="00AB37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840</Words>
  <Characters>5066</Characters>
  <Application>Microsoft Office Word</Application>
  <DocSecurity>0</DocSecurity>
  <Lines>164</Lines>
  <Paragraphs>83</Paragraphs>
  <ScaleCrop>false</ScaleCrop>
  <Company>Author-it Software Corporation Ltd.</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AHCSDT402A Prepare and maintain a seed reference collection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2012-10-12T06:38:00Z</dcterms:created>
  <dcterms:modified xsi:type="dcterms:W3CDTF">2012-10-12T06:38:00Z</dcterms:modified>
</cp:coreProperties>
</file>