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CE8" w:rsidP="00874CE8">
      <w:pPr>
        <w:pStyle w:val="Title"/>
      </w:pPr>
      <w:bookmarkStart w:id="0" w:name="_GoBack"/>
      <w:bookmarkEnd w:id="0"/>
      <w:r>
        <w:fldChar w:fldCharType="begin"/>
      </w:r>
      <w:r>
        <w:instrText xml:space="preserve"> TITLE   \* MERGEFORMAT </w:instrText>
      </w:r>
      <w:r>
        <w:fldChar w:fldCharType="separate"/>
      </w:r>
      <w:r>
        <w:t>AHCSDT307A Perform a ‘Determination of Other Seeds by Number’ test</w:t>
      </w:r>
      <w:r>
        <w:fldChar w:fldCharType="end"/>
      </w:r>
    </w:p>
    <w:p w:rsidR="00874CE8" w:rsidP="00874CE8">
      <w:pPr>
        <w:pStyle w:val="Version"/>
        <w:sectPr w:rsidSect="00A302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2C6" w:rsidP="00A302C6">
      <w:pPr>
        <w:pStyle w:val="SuperHeading"/>
      </w:pPr>
      <w:r w:rsidRPr="00A302C6">
        <w:t>AHCSDT307A Perform a ‘Determination of Other Seeds by Number’ test</w:t>
      </w:r>
    </w:p>
    <w:p w:rsidR="00000000" w:rsidRPr="00A302C6" w:rsidP="00A302C6">
      <w:pPr>
        <w:pStyle w:val="Heading1"/>
      </w:pPr>
      <w:bookmarkStart w:id="1" w:name="O_469356"/>
      <w:bookmarkEnd w:id="1"/>
      <w:r w:rsidRPr="00A302C6">
        <w:t>Modification History</w:t>
      </w:r>
    </w:p>
    <w:tbl>
      <w:tblPr>
        <w:tblW w:w="0" w:type="auto"/>
        <w:tblLayout w:type="fixed"/>
        <w:tblCellMar>
          <w:left w:w="62" w:type="dxa"/>
          <w:right w:w="62" w:type="dxa"/>
        </w:tblCellMar>
        <w:tblLook w:val="0000"/>
      </w:tblPr>
      <w:tblGrid>
        <w:gridCol w:w="1803"/>
        <w:gridCol w:w="2247"/>
        <w:gridCol w:w="5084"/>
      </w:tblGrid>
      <w:tr w:rsidTr="00874CE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2C6" w:rsidP="00A302C6">
            <w:pPr>
              <w:pStyle w:val="BodyText"/>
            </w:pPr>
            <w:r w:rsidRPr="00A302C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2C6" w:rsidP="00A302C6">
            <w:pPr>
              <w:pStyle w:val="BodyText"/>
            </w:pPr>
            <w:r w:rsidRPr="00A302C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rPr>
                <w:rStyle w:val="SpecialBold"/>
              </w:rPr>
              <w:t>Comments</w:t>
            </w:r>
          </w:p>
        </w:tc>
      </w:tr>
      <w:tr w:rsidTr="00874CE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2C6" w:rsidP="00A302C6">
            <w:pPr>
              <w:pStyle w:val="BodyText"/>
            </w:pPr>
            <w:r w:rsidRPr="00A302C6">
              <w:t>Initial release</w:t>
            </w:r>
          </w:p>
        </w:tc>
      </w:tr>
    </w:tbl>
    <w:p w:rsidR="00000000" w:rsidRPr="00A302C6" w:rsidP="00A302C6">
      <w:pPr>
        <w:pStyle w:val="BodyText"/>
      </w:pPr>
    </w:p>
    <w:p w:rsidR="00000000" w:rsidRPr="00A302C6" w:rsidP="00A302C6">
      <w:pPr>
        <w:pStyle w:val="AllowPageBreak"/>
      </w:pPr>
    </w:p>
    <w:p w:rsidR="00000000" w:rsidRPr="00A302C6" w:rsidP="00A302C6">
      <w:pPr>
        <w:pStyle w:val="Heading1"/>
      </w:pPr>
      <w:bookmarkStart w:id="2" w:name="O_469357"/>
      <w:bookmarkEnd w:id="2"/>
      <w:r w:rsidRPr="00A302C6">
        <w:t>Unit Descriptor</w:t>
      </w:r>
    </w:p>
    <w:p w:rsidR="00000000" w:rsidRPr="00A302C6" w:rsidP="00A302C6">
      <w:pPr>
        <w:pStyle w:val="BodyText"/>
      </w:pPr>
      <w:r w:rsidRPr="00A302C6">
        <w:t>This Unit covers the estimation of the number of seeds of other species either generally (e.g. all other species) or by reference to one category or species of seed.</w:t>
      </w:r>
    </w:p>
    <w:p w:rsidR="00000000" w:rsidRPr="00A302C6" w:rsidP="00A302C6">
      <w:pPr>
        <w:pStyle w:val="AllowPageBreak"/>
      </w:pPr>
    </w:p>
    <w:p w:rsidR="00000000" w:rsidRPr="00A302C6" w:rsidP="00A302C6">
      <w:pPr>
        <w:pStyle w:val="Heading1"/>
      </w:pPr>
      <w:bookmarkStart w:id="3" w:name="O_469358"/>
      <w:bookmarkEnd w:id="3"/>
      <w:r w:rsidRPr="00A302C6">
        <w:t>Application of the Unit</w:t>
      </w:r>
    </w:p>
    <w:p w:rsidR="00000000" w:rsidRPr="00A302C6" w:rsidP="00A302C6">
      <w:pPr>
        <w:pStyle w:val="BodyText"/>
      </w:pPr>
      <w:r w:rsidRPr="00A302C6">
        <w:t>This Unit applies</w:t>
      </w:r>
      <w:r w:rsidRPr="00A302C6">
        <w:t xml:space="preserve"> to seed analysts working independently or under limited supervision, within enterprise guidelines. In general, they prepare samples for testing; conduct specified tests in accordance with enterprise requirements; maintain records and interpret results; an</w:t>
      </w:r>
      <w:r w:rsidRPr="00A302C6">
        <w:t>d troubleshoot equipment problems.</w:t>
      </w:r>
    </w:p>
    <w:p w:rsidR="00000000" w:rsidRPr="00A302C6" w:rsidP="00A302C6">
      <w:pPr>
        <w:pStyle w:val="AllowPageBreak"/>
      </w:pPr>
    </w:p>
    <w:p w:rsidR="00000000" w:rsidRPr="00A302C6" w:rsidP="00A302C6">
      <w:pPr>
        <w:pStyle w:val="Heading1"/>
      </w:pPr>
      <w:bookmarkStart w:id="4" w:name="O_469359"/>
      <w:bookmarkEnd w:id="4"/>
      <w:r w:rsidRPr="00A302C6">
        <w:t>Licensing/Regulatory Information</w:t>
      </w:r>
    </w:p>
    <w:p w:rsidR="00000000" w:rsidRPr="00A302C6" w:rsidP="00A302C6">
      <w:pPr>
        <w:pStyle w:val="BodyText"/>
      </w:pPr>
      <w:r w:rsidRPr="00A302C6">
        <w:t>Not applicable.</w:t>
      </w:r>
    </w:p>
    <w:p w:rsidR="00000000" w:rsidRPr="00A302C6" w:rsidP="00A302C6">
      <w:pPr>
        <w:pStyle w:val="AllowPageBreak"/>
      </w:pPr>
    </w:p>
    <w:p w:rsidR="00000000" w:rsidRPr="00A302C6" w:rsidP="00A302C6">
      <w:pPr>
        <w:pStyle w:val="Heading1"/>
      </w:pPr>
      <w:bookmarkStart w:id="5" w:name="O_469360"/>
      <w:bookmarkEnd w:id="5"/>
      <w:r w:rsidRPr="00A302C6">
        <w:t>Pre-Requisites</w:t>
      </w:r>
    </w:p>
    <w:p w:rsidR="00000000" w:rsidRPr="00A302C6" w:rsidP="00A302C6">
      <w:pPr>
        <w:pStyle w:val="BodyText"/>
      </w:pPr>
      <w:r w:rsidRPr="00A302C6">
        <w:t>Nil.</w:t>
      </w:r>
    </w:p>
    <w:p w:rsidR="00000000" w:rsidRPr="00A302C6" w:rsidP="00A302C6">
      <w:pPr>
        <w:pStyle w:val="AllowPageBreak"/>
      </w:pPr>
    </w:p>
    <w:p w:rsidR="00000000" w:rsidRPr="00A302C6" w:rsidP="00A302C6">
      <w:pPr>
        <w:pStyle w:val="Heading1"/>
      </w:pPr>
      <w:bookmarkStart w:id="6" w:name="O_469361"/>
      <w:bookmarkEnd w:id="6"/>
      <w:r w:rsidRPr="00A302C6">
        <w:t>Employability Skills Information</w:t>
      </w:r>
    </w:p>
    <w:p w:rsidR="00000000" w:rsidRPr="00A302C6" w:rsidP="00A302C6">
      <w:pPr>
        <w:pStyle w:val="BodyText"/>
      </w:pPr>
      <w:r w:rsidRPr="00A302C6">
        <w:t>This Unit contains employability skills.</w:t>
      </w:r>
    </w:p>
    <w:p w:rsidR="00000000" w:rsidRPr="00A302C6" w:rsidP="00A302C6">
      <w:pPr>
        <w:pStyle w:val="AllowPageBreak"/>
      </w:pPr>
    </w:p>
    <w:p w:rsidR="00000000" w:rsidRPr="00A302C6" w:rsidP="00A302C6">
      <w:pPr>
        <w:pStyle w:val="Heading1"/>
      </w:pPr>
      <w:bookmarkStart w:id="7" w:name="O_469362"/>
      <w:bookmarkEnd w:id="7"/>
      <w:r w:rsidRPr="00A302C6">
        <w:t>Elements a</w:t>
      </w:r>
      <w:r w:rsidRPr="00A302C6">
        <w:t>nd Performance Criteria Pre-Content</w:t>
      </w:r>
    </w:p>
    <w:tbl>
      <w:tblPr>
        <w:tblW w:w="0" w:type="auto"/>
        <w:tblLayout w:type="fixed"/>
        <w:tblCellMar>
          <w:left w:w="62" w:type="dxa"/>
          <w:right w:w="62" w:type="dxa"/>
        </w:tblCellMar>
        <w:tblLook w:val="0000"/>
      </w:tblPr>
      <w:tblGrid>
        <w:gridCol w:w="2760"/>
        <w:gridCol w:w="6312"/>
      </w:tblGrid>
      <w:tr w:rsidTr="00A302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02C6">
            <w:pPr>
              <w:pStyle w:val="BodyText"/>
              <w:rPr>
                <w:lang w:val="en-NZ"/>
              </w:rPr>
            </w:pPr>
            <w:r w:rsidRPr="00A302C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302C6" w:rsidP="00A302C6">
            <w:pPr>
              <w:pStyle w:val="BodyText"/>
            </w:pPr>
            <w:r w:rsidRPr="00A302C6">
              <w:t>Performance criteria describe the performance needed to demonstrate achievement of the element. Where bold italicised text is used, further information is</w:t>
            </w:r>
            <w:r w:rsidRPr="00A302C6">
              <w:t xml:space="preserve"> detailed in the required skills and knowledge section and the range statement. Assessment of performance is to be consistent with the evidence guide.</w:t>
            </w:r>
          </w:p>
        </w:tc>
      </w:tr>
    </w:tbl>
    <w:p w:rsidR="00000000" w:rsidRPr="00A302C6" w:rsidP="00A302C6">
      <w:pPr>
        <w:pStyle w:val="BodyText"/>
      </w:pPr>
    </w:p>
    <w:p w:rsidR="00000000" w:rsidRPr="00A302C6" w:rsidP="00A302C6">
      <w:pPr>
        <w:pStyle w:val="AllowPageBreak"/>
      </w:pPr>
    </w:p>
    <w:p w:rsidR="00000000" w:rsidRPr="00A302C6" w:rsidP="00A302C6">
      <w:pPr>
        <w:pStyle w:val="Heading1"/>
      </w:pPr>
      <w:bookmarkStart w:id="8" w:name="O_469363"/>
      <w:bookmarkEnd w:id="8"/>
      <w:r w:rsidRPr="00A302C6">
        <w:t>Elements and Performance Criteria</w:t>
      </w:r>
    </w:p>
    <w:tbl>
      <w:tblPr>
        <w:tblW w:w="0" w:type="auto"/>
        <w:tblLayout w:type="fixed"/>
        <w:tblCellMar>
          <w:left w:w="62" w:type="dxa"/>
          <w:right w:w="62" w:type="dxa"/>
        </w:tblCellMar>
        <w:tblLook w:val="0000"/>
      </w:tblPr>
      <w:tblGrid>
        <w:gridCol w:w="2760"/>
        <w:gridCol w:w="6312"/>
      </w:tblGrid>
      <w:tr w:rsidTr="00A302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02C6">
            <w:pPr>
              <w:pStyle w:val="List"/>
              <w:rPr>
                <w:lang w:val="en-NZ"/>
              </w:rPr>
            </w:pPr>
            <w:r w:rsidRPr="00A302C6">
              <w:t>1.</w:t>
            </w:r>
            <w:r w:rsidRPr="00A302C6">
              <w:tab/>
              <w:t>Prepare a working sample</w:t>
            </w:r>
          </w:p>
        </w:tc>
        <w:tc>
          <w:tcPr>
            <w:tcW w:w="6312" w:type="dxa"/>
            <w:tcBorders>
              <w:top w:val="nil"/>
              <w:left w:val="nil"/>
              <w:bottom w:val="nil"/>
              <w:right w:val="nil"/>
            </w:tcBorders>
            <w:tcMar>
              <w:top w:w="0" w:type="dxa"/>
              <w:left w:w="62" w:type="dxa"/>
              <w:bottom w:w="0" w:type="dxa"/>
              <w:right w:w="62" w:type="dxa"/>
            </w:tcMar>
          </w:tcPr>
          <w:p w:rsidR="00000000" w:rsidRPr="00A302C6" w:rsidP="00A302C6">
            <w:pPr>
              <w:pStyle w:val="List"/>
            </w:pPr>
            <w:r w:rsidRPr="00A302C6">
              <w:t>1.1</w:t>
            </w:r>
            <w:r w:rsidRPr="00A302C6">
              <w:tab/>
            </w:r>
            <w:r w:rsidRPr="00A302C6">
              <w:t>Seed to be tested is identified and records completed.</w:t>
            </w:r>
          </w:p>
          <w:p w:rsidR="00000000" w:rsidRPr="00A302C6" w:rsidP="00A302C6">
            <w:pPr>
              <w:pStyle w:val="List"/>
            </w:pPr>
            <w:r w:rsidRPr="00A302C6">
              <w:t>1.2</w:t>
            </w:r>
            <w:r w:rsidRPr="00A302C6">
              <w:tab/>
              <w:t>Working sample is prepared from submitted sample.</w:t>
            </w:r>
          </w:p>
          <w:p w:rsidR="00000000" w:rsidRPr="00A302C6" w:rsidP="00A302C6">
            <w:pPr>
              <w:pStyle w:val="List"/>
            </w:pPr>
            <w:r w:rsidRPr="00A302C6">
              <w:t>1.3</w:t>
            </w:r>
            <w:r w:rsidRPr="00A302C6">
              <w:tab/>
              <w:t>Size of working sample conforms with that prescribed under ISTA rules.</w:t>
            </w:r>
          </w:p>
          <w:p w:rsidR="00000000" w:rsidP="00A302C6">
            <w:pPr>
              <w:pStyle w:val="List"/>
              <w:rPr>
                <w:lang w:val="en-NZ"/>
              </w:rPr>
            </w:pPr>
            <w:r w:rsidRPr="00A302C6">
              <w:t>1.4</w:t>
            </w:r>
            <w:r w:rsidRPr="00A302C6">
              <w:tab/>
              <w:t xml:space="preserve">The </w:t>
            </w:r>
            <w:r w:rsidRPr="00A302C6">
              <w:rPr>
                <w:rStyle w:val="BoldandItalics"/>
              </w:rPr>
              <w:t>extent of determination of other species</w:t>
            </w:r>
            <w:r w:rsidRPr="00A302C6">
              <w:t xml:space="preserve"> is selected based on cl</w:t>
            </w:r>
            <w:r w:rsidRPr="00A302C6">
              <w:t>ient requirements, seed quantity or seed characteristics.</w:t>
            </w:r>
          </w:p>
        </w:tc>
      </w:tr>
      <w:tr w:rsidTr="00A302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02C6">
            <w:pPr>
              <w:pStyle w:val="List"/>
              <w:rPr>
                <w:lang w:val="en-NZ"/>
              </w:rPr>
            </w:pPr>
            <w:r w:rsidRPr="00A302C6">
              <w:t>2.</w:t>
            </w:r>
            <w:r w:rsidRPr="00A302C6">
              <w:tab/>
              <w:t>Examine seeds in working sample</w:t>
            </w:r>
          </w:p>
        </w:tc>
        <w:tc>
          <w:tcPr>
            <w:tcW w:w="6312" w:type="dxa"/>
            <w:tcBorders>
              <w:top w:val="nil"/>
              <w:left w:val="nil"/>
              <w:bottom w:val="nil"/>
              <w:right w:val="nil"/>
            </w:tcBorders>
            <w:tcMar>
              <w:top w:w="0" w:type="dxa"/>
              <w:left w:w="62" w:type="dxa"/>
              <w:bottom w:w="0" w:type="dxa"/>
              <w:right w:w="62" w:type="dxa"/>
            </w:tcMar>
          </w:tcPr>
          <w:p w:rsidR="00000000" w:rsidRPr="00A302C6" w:rsidP="00A302C6">
            <w:pPr>
              <w:pStyle w:val="List"/>
            </w:pPr>
            <w:r w:rsidRPr="00A302C6">
              <w:t>2.1</w:t>
            </w:r>
            <w:r w:rsidRPr="00A302C6">
              <w:tab/>
              <w:t>Working sample is searched for seeds of all other species or of certain stated species as required.</w:t>
            </w:r>
          </w:p>
          <w:p w:rsidR="00000000" w:rsidP="00A302C6">
            <w:pPr>
              <w:pStyle w:val="List"/>
              <w:rPr>
                <w:lang w:val="en-NZ"/>
              </w:rPr>
            </w:pPr>
            <w:r w:rsidRPr="00A302C6">
              <w:t>2.2</w:t>
            </w:r>
            <w:r w:rsidRPr="00A302C6">
              <w:tab/>
              <w:t>Number of seeds found for each species is counted.</w:t>
            </w:r>
          </w:p>
        </w:tc>
      </w:tr>
      <w:tr w:rsidTr="00A302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02C6">
            <w:pPr>
              <w:pStyle w:val="List"/>
              <w:rPr>
                <w:lang w:val="en-NZ"/>
              </w:rPr>
            </w:pPr>
            <w:r w:rsidRPr="00A302C6">
              <w:t>3.</w:t>
            </w:r>
            <w:r w:rsidRPr="00A302C6">
              <w:tab/>
              <w:t>Calculate results</w:t>
            </w:r>
          </w:p>
        </w:tc>
        <w:tc>
          <w:tcPr>
            <w:tcW w:w="6312" w:type="dxa"/>
            <w:tcBorders>
              <w:top w:val="nil"/>
              <w:left w:val="nil"/>
              <w:bottom w:val="nil"/>
              <w:right w:val="nil"/>
            </w:tcBorders>
            <w:tcMar>
              <w:top w:w="0" w:type="dxa"/>
              <w:left w:w="62" w:type="dxa"/>
              <w:bottom w:w="0" w:type="dxa"/>
              <w:right w:w="62" w:type="dxa"/>
            </w:tcMar>
          </w:tcPr>
          <w:p w:rsidR="00000000" w:rsidRPr="00A302C6" w:rsidP="00A302C6">
            <w:pPr>
              <w:pStyle w:val="List"/>
            </w:pPr>
            <w:r w:rsidRPr="00A302C6">
              <w:t>3.1</w:t>
            </w:r>
            <w:r w:rsidRPr="00A302C6">
              <w:tab/>
              <w:t>Result is expressed as the number of seeds belonging to each stated species or category found in the quantity examined.</w:t>
            </w:r>
          </w:p>
          <w:p w:rsidR="00000000" w:rsidRPr="00A302C6" w:rsidP="00A302C6">
            <w:pPr>
              <w:pStyle w:val="List"/>
            </w:pPr>
            <w:r w:rsidRPr="00A302C6">
              <w:t>3.2</w:t>
            </w:r>
            <w:r w:rsidRPr="00A302C6">
              <w:tab/>
              <w:t>Number of seeds per unit weight is calculated.</w:t>
            </w:r>
          </w:p>
          <w:p w:rsidR="00000000" w:rsidRPr="00A302C6" w:rsidP="00A302C6">
            <w:pPr>
              <w:pStyle w:val="List"/>
            </w:pPr>
            <w:r w:rsidRPr="00A302C6">
              <w:t>3.3</w:t>
            </w:r>
            <w:r w:rsidRPr="00A302C6">
              <w:tab/>
              <w:t>Where two or more tests are carried out, result is express</w:t>
            </w:r>
            <w:r w:rsidRPr="00A302C6">
              <w:t>ed as total number of seeds found in total weight examined.</w:t>
            </w:r>
          </w:p>
          <w:p w:rsidR="00000000" w:rsidP="00A302C6">
            <w:pPr>
              <w:pStyle w:val="List"/>
              <w:rPr>
                <w:lang w:val="en-NZ"/>
              </w:rPr>
            </w:pPr>
            <w:r w:rsidRPr="00A302C6">
              <w:t>3.4</w:t>
            </w:r>
            <w:r w:rsidRPr="00A302C6">
              <w:tab/>
              <w:t>Comparison of result is made with other determinations in the same or in a different laboratory.</w:t>
            </w:r>
          </w:p>
        </w:tc>
      </w:tr>
      <w:tr w:rsidTr="00A302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02C6">
            <w:pPr>
              <w:pStyle w:val="List"/>
              <w:rPr>
                <w:lang w:val="en-NZ"/>
              </w:rPr>
            </w:pPr>
            <w:r w:rsidRPr="00A302C6">
              <w:t>4.</w:t>
            </w:r>
            <w:r w:rsidRPr="00A302C6">
              <w:tab/>
              <w:t>Report results</w:t>
            </w:r>
          </w:p>
        </w:tc>
        <w:tc>
          <w:tcPr>
            <w:tcW w:w="6312" w:type="dxa"/>
            <w:tcBorders>
              <w:top w:val="nil"/>
              <w:left w:val="nil"/>
              <w:bottom w:val="nil"/>
              <w:right w:val="nil"/>
            </w:tcBorders>
            <w:tcMar>
              <w:top w:w="0" w:type="dxa"/>
              <w:left w:w="62" w:type="dxa"/>
              <w:bottom w:w="0" w:type="dxa"/>
              <w:right w:w="62" w:type="dxa"/>
            </w:tcMar>
          </w:tcPr>
          <w:p w:rsidR="00000000" w:rsidRPr="00A302C6" w:rsidP="00A302C6">
            <w:pPr>
              <w:pStyle w:val="List"/>
            </w:pPr>
            <w:r w:rsidRPr="00A302C6">
              <w:t>4.1</w:t>
            </w:r>
            <w:r w:rsidRPr="00A302C6">
              <w:tab/>
              <w:t>Result is reported under ‘Other determinations’.</w:t>
            </w:r>
          </w:p>
          <w:p w:rsidR="00000000" w:rsidRPr="00A302C6" w:rsidP="00A302C6">
            <w:pPr>
              <w:pStyle w:val="List"/>
            </w:pPr>
            <w:r w:rsidRPr="00A302C6">
              <w:t>4.2</w:t>
            </w:r>
            <w:r w:rsidRPr="00A302C6">
              <w:tab/>
            </w:r>
            <w:r w:rsidRPr="00A302C6">
              <w:t>Actual weight of seed examined is recorded.</w:t>
            </w:r>
          </w:p>
          <w:p w:rsidR="00000000" w:rsidRPr="00A302C6" w:rsidP="00A302C6">
            <w:pPr>
              <w:pStyle w:val="List"/>
            </w:pPr>
            <w:r w:rsidRPr="00A302C6">
              <w:t>4.3</w:t>
            </w:r>
            <w:r w:rsidRPr="00A302C6">
              <w:tab/>
              <w:t>The scientific name and number of seeds of each species sought and found in the actual weight of seed examined.</w:t>
            </w:r>
          </w:p>
          <w:p w:rsidR="00000000" w:rsidRPr="00A302C6" w:rsidP="00A302C6">
            <w:pPr>
              <w:pStyle w:val="List"/>
            </w:pPr>
            <w:r w:rsidRPr="00A302C6">
              <w:t>4.4</w:t>
            </w:r>
            <w:r w:rsidRPr="00A302C6">
              <w:tab/>
              <w:t>Extent of determination of other species of seed is recorded.</w:t>
            </w:r>
          </w:p>
        </w:tc>
      </w:tr>
    </w:tbl>
    <w:p w:rsidR="00000000" w:rsidRPr="00A302C6" w:rsidP="00A302C6">
      <w:pPr>
        <w:pStyle w:val="BodyText"/>
      </w:pPr>
    </w:p>
    <w:p w:rsidR="00000000" w:rsidRPr="00A302C6" w:rsidP="00A302C6">
      <w:pPr>
        <w:pStyle w:val="AllowPageBreak"/>
      </w:pPr>
    </w:p>
    <w:p w:rsidR="00000000" w:rsidRPr="00A302C6" w:rsidP="00A302C6">
      <w:pPr>
        <w:pStyle w:val="Heading1"/>
      </w:pPr>
      <w:bookmarkStart w:id="9" w:name="O_469364"/>
      <w:bookmarkEnd w:id="9"/>
      <w:r w:rsidRPr="00A302C6">
        <w:t>Required Sk</w:t>
      </w:r>
      <w:r w:rsidRPr="00A302C6">
        <w:t>ills and Knowledge</w:t>
      </w:r>
    </w:p>
    <w:tbl>
      <w:tblPr>
        <w:tblW w:w="0" w:type="auto"/>
        <w:tblLayout w:type="fixed"/>
        <w:tblCellMar>
          <w:left w:w="62" w:type="dxa"/>
          <w:right w:w="62" w:type="dxa"/>
        </w:tblCellMar>
        <w:tblLook w:val="0000"/>
      </w:tblPr>
      <w:tblGrid>
        <w:gridCol w:w="9072"/>
      </w:tblGrid>
      <w:tr w:rsidTr="00A302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02C6">
            <w:pPr>
              <w:pStyle w:val="BodyText"/>
              <w:rPr>
                <w:lang w:val="en-NZ"/>
              </w:rPr>
            </w:pPr>
            <w:r w:rsidRPr="00A302C6">
              <w:t>This section describes the skills and knowledge required for this Unit.</w:t>
            </w:r>
          </w:p>
        </w:tc>
      </w:tr>
      <w:tr w:rsidTr="00A302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02C6" w:rsidP="00A302C6">
            <w:pPr>
              <w:pStyle w:val="TableHeading"/>
            </w:pPr>
            <w:r w:rsidRPr="00A302C6">
              <w:rPr>
                <w:rStyle w:val="SpecialBold"/>
              </w:rPr>
              <w:t>Required skills include:</w:t>
            </w:r>
          </w:p>
          <w:p w:rsidR="00000000" w:rsidP="00A302C6">
            <w:pPr>
              <w:pStyle w:val="BodyText"/>
              <w:rPr>
                <w:lang w:val="en-NZ"/>
              </w:rPr>
            </w:pPr>
            <w:r w:rsidRPr="00A302C6">
              <w:rPr>
                <w:rStyle w:val="SpecialBold"/>
              </w:rPr>
              <w:t>Ability to:</w:t>
            </w:r>
          </w:p>
        </w:tc>
      </w:tr>
      <w:tr w:rsidTr="00A302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02C6" w:rsidP="00A302C6">
            <w:pPr>
              <w:pStyle w:val="ListBullet"/>
            </w:pPr>
            <w:r w:rsidRPr="00A302C6">
              <w:t>prepare a working sample to ISTA rules</w:t>
            </w:r>
          </w:p>
          <w:p w:rsidR="00000000" w:rsidRPr="00A302C6" w:rsidP="00A302C6">
            <w:pPr>
              <w:pStyle w:val="ListBullet"/>
            </w:pPr>
            <w:r w:rsidRPr="00A302C6">
              <w:t>identify a range of species</w:t>
            </w:r>
          </w:p>
          <w:p w:rsidR="00000000" w:rsidRPr="00A302C6" w:rsidP="00A302C6">
            <w:pPr>
              <w:pStyle w:val="ListBullet"/>
            </w:pPr>
            <w:r w:rsidRPr="00A302C6">
              <w:t xml:space="preserve">examine and count seeds </w:t>
            </w:r>
          </w:p>
          <w:p w:rsidR="00000000" w:rsidRPr="00A302C6" w:rsidP="00A302C6">
            <w:pPr>
              <w:pStyle w:val="ListBullet"/>
            </w:pPr>
            <w:r w:rsidRPr="00A302C6">
              <w:t>calculate weights and percentages</w:t>
            </w:r>
          </w:p>
          <w:p w:rsidR="00000000" w:rsidP="00A302C6">
            <w:pPr>
              <w:pStyle w:val="ListBullet"/>
              <w:rPr>
                <w:lang w:val="en-NZ"/>
              </w:rPr>
            </w:pPr>
            <w:r w:rsidRPr="00A302C6">
              <w:t>report results.</w:t>
            </w:r>
          </w:p>
        </w:tc>
      </w:tr>
      <w:tr w:rsidTr="00A302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02C6" w:rsidP="00A302C6">
            <w:pPr>
              <w:pStyle w:val="TableHeading"/>
            </w:pPr>
            <w:r w:rsidRPr="00A302C6">
              <w:rPr>
                <w:rStyle w:val="SpecialBold"/>
              </w:rPr>
              <w:t>Required knowledge includes:</w:t>
            </w:r>
          </w:p>
          <w:p w:rsidR="00000000" w:rsidP="00A302C6">
            <w:pPr>
              <w:pStyle w:val="BodyText"/>
              <w:rPr>
                <w:lang w:val="en-NZ"/>
              </w:rPr>
            </w:pPr>
            <w:r w:rsidRPr="00A302C6">
              <w:rPr>
                <w:rStyle w:val="SpecialBold"/>
              </w:rPr>
              <w:t>Knowledge of:</w:t>
            </w:r>
          </w:p>
        </w:tc>
      </w:tr>
      <w:tr w:rsidTr="00A302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02C6" w:rsidP="00A302C6">
            <w:pPr>
              <w:pStyle w:val="ListBullet"/>
            </w:pPr>
            <w:r w:rsidRPr="00A302C6">
              <w:t>the role of the International Seed Testing Association (ISTA) and the ISTA Rules for Seed Testing</w:t>
            </w:r>
          </w:p>
          <w:p w:rsidR="00000000" w:rsidRPr="00A302C6" w:rsidP="00A302C6">
            <w:pPr>
              <w:pStyle w:val="ListBullet"/>
            </w:pPr>
            <w:r w:rsidRPr="00A302C6">
              <w:t>seed biology</w:t>
            </w:r>
          </w:p>
          <w:p w:rsidR="00000000" w:rsidRPr="00A302C6" w:rsidP="00A302C6">
            <w:pPr>
              <w:pStyle w:val="ListBullet"/>
            </w:pPr>
            <w:r w:rsidRPr="00A302C6">
              <w:t>seed identification</w:t>
            </w:r>
          </w:p>
          <w:p w:rsidR="00000000" w:rsidRPr="00A302C6" w:rsidP="00A302C6">
            <w:pPr>
              <w:pStyle w:val="ListBullet"/>
            </w:pPr>
            <w:r w:rsidRPr="00A302C6">
              <w:t>enterprise and/or legal traceability requirements</w:t>
            </w:r>
          </w:p>
          <w:p w:rsidR="00000000" w:rsidRPr="00A302C6" w:rsidP="00A302C6">
            <w:pPr>
              <w:pStyle w:val="ListBullet"/>
            </w:pPr>
            <w:r w:rsidRPr="00A302C6">
              <w:t>enterprise sta</w:t>
            </w:r>
            <w:r w:rsidRPr="00A302C6">
              <w:t>ndard operating procedures (SOPs)</w:t>
            </w:r>
          </w:p>
          <w:p w:rsidR="00000000" w:rsidRPr="00A302C6" w:rsidP="00A302C6">
            <w:pPr>
              <w:pStyle w:val="ListBullet"/>
            </w:pPr>
            <w:r w:rsidRPr="00A302C6">
              <w:t>relevant health, safety and environment requirements.</w:t>
            </w:r>
          </w:p>
        </w:tc>
      </w:tr>
    </w:tbl>
    <w:p w:rsidR="00000000" w:rsidRPr="00A302C6" w:rsidP="00A302C6">
      <w:pPr>
        <w:pStyle w:val="BodyText"/>
      </w:pPr>
    </w:p>
    <w:p w:rsidR="00000000" w:rsidRPr="00A302C6" w:rsidP="00A302C6">
      <w:pPr>
        <w:pStyle w:val="AllowPageBreak"/>
      </w:pPr>
    </w:p>
    <w:p w:rsidR="00000000" w:rsidRPr="00A302C6" w:rsidP="00A302C6">
      <w:pPr>
        <w:pStyle w:val="Heading1"/>
      </w:pPr>
      <w:bookmarkStart w:id="10" w:name="O_469365"/>
      <w:bookmarkEnd w:id="10"/>
      <w:r w:rsidRPr="00A302C6">
        <w:t>Evidence Guide</w:t>
      </w:r>
    </w:p>
    <w:tbl>
      <w:tblPr>
        <w:tblW w:w="0" w:type="auto"/>
        <w:tblLayout w:type="fixed"/>
        <w:tblCellMar>
          <w:left w:w="62" w:type="dxa"/>
          <w:right w:w="62" w:type="dxa"/>
        </w:tblCellMar>
        <w:tblLook w:val="0000"/>
      </w:tblPr>
      <w:tblGrid>
        <w:gridCol w:w="3674"/>
        <w:gridCol w:w="5398"/>
      </w:tblGrid>
      <w:tr w:rsidTr="00A302C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The evidence guide provides advice on assessment and must be read in conjunction with the performance criteria, required skills and knowledge, range statement and the Assessment Guidelines for the Training Package.</w:t>
            </w:r>
          </w:p>
        </w:tc>
      </w:tr>
      <w:tr w:rsidTr="00A302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p>
        </w:tc>
      </w:tr>
      <w:tr w:rsidTr="00A302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Critical aspec</w:t>
            </w:r>
            <w:r w:rsidRPr="00A302C6">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2C6" w:rsidP="00A302C6">
            <w:pPr>
              <w:pStyle w:val="BodyText"/>
            </w:pPr>
            <w:r w:rsidRPr="00A302C6">
              <w:t>Evidence of the ability to:</w:t>
            </w:r>
          </w:p>
          <w:p w:rsidR="00000000" w:rsidRPr="00A302C6" w:rsidP="00A302C6">
            <w:pPr>
              <w:pStyle w:val="ListBullet"/>
            </w:pPr>
            <w:r w:rsidRPr="00A302C6">
              <w:t>prepare a working sample</w:t>
            </w:r>
          </w:p>
          <w:p w:rsidR="00000000" w:rsidRPr="00A302C6" w:rsidP="00A302C6">
            <w:pPr>
              <w:pStyle w:val="ListBullet"/>
            </w:pPr>
            <w:r w:rsidRPr="00A302C6">
              <w:t>examine seeds in working sample</w:t>
            </w:r>
          </w:p>
          <w:p w:rsidR="00000000" w:rsidRPr="00A302C6" w:rsidP="00A302C6">
            <w:pPr>
              <w:pStyle w:val="ListBullet"/>
            </w:pPr>
            <w:r w:rsidRPr="00A302C6">
              <w:t>calculate results</w:t>
            </w:r>
          </w:p>
          <w:p w:rsidR="00000000" w:rsidP="00A302C6">
            <w:pPr>
              <w:pStyle w:val="ListBullet"/>
              <w:rPr>
                <w:lang w:val="en-NZ"/>
              </w:rPr>
            </w:pPr>
            <w:r w:rsidRPr="00A302C6">
              <w:t>report results.</w:t>
            </w:r>
          </w:p>
        </w:tc>
      </w:tr>
      <w:tr w:rsidTr="00A302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Competency requires the application of work practices under work conditions. Selection and use of resources for some worksites may differ due to the regional or enterprise circumstances.</w:t>
            </w:r>
          </w:p>
        </w:tc>
      </w:tr>
      <w:tr w:rsidTr="00A302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This Unit should be assessed together with core</w:t>
            </w:r>
            <w:r w:rsidRPr="00A302C6">
              <w:t xml:space="preserve"> Units and other Units of Competency relevant to the function or work role.</w:t>
            </w:r>
          </w:p>
        </w:tc>
      </w:tr>
      <w:tr w:rsidTr="00A302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2C6" w:rsidP="00A302C6">
            <w:pPr>
              <w:pStyle w:val="BodyText"/>
            </w:pPr>
            <w:r w:rsidRPr="00A302C6">
              <w:t>To ensure consistency of performance, competency should be demonstrated on more than one occasion over a period of time in order to cover a var</w:t>
            </w:r>
            <w:r w:rsidRPr="00A302C6">
              <w:t>iety of circumstances, cases and responsibilities, and where possible, over a number of assessment activities.</w:t>
            </w:r>
          </w:p>
        </w:tc>
      </w:tr>
    </w:tbl>
    <w:p w:rsidR="00000000" w:rsidRPr="00A302C6" w:rsidP="00A302C6">
      <w:pPr>
        <w:pStyle w:val="BodyText"/>
      </w:pPr>
    </w:p>
    <w:p w:rsidR="00000000" w:rsidRPr="00A302C6" w:rsidP="00A302C6">
      <w:pPr>
        <w:pStyle w:val="AllowPageBreak"/>
      </w:pPr>
    </w:p>
    <w:p w:rsidR="00000000" w:rsidRPr="00A302C6" w:rsidP="00A302C6">
      <w:pPr>
        <w:pStyle w:val="Heading1"/>
      </w:pPr>
      <w:bookmarkStart w:id="11" w:name="O_469366"/>
      <w:bookmarkEnd w:id="11"/>
      <w:r w:rsidRPr="00A302C6">
        <w:t>Range Statement</w:t>
      </w:r>
    </w:p>
    <w:tbl>
      <w:tblPr>
        <w:tblW w:w="0" w:type="auto"/>
        <w:tblLayout w:type="fixed"/>
        <w:tblCellMar>
          <w:left w:w="62" w:type="dxa"/>
          <w:right w:w="62" w:type="dxa"/>
        </w:tblCellMar>
        <w:tblLook w:val="0000"/>
      </w:tblPr>
      <w:tblGrid>
        <w:gridCol w:w="3674"/>
        <w:gridCol w:w="5398"/>
      </w:tblGrid>
      <w:tr w:rsidTr="00A302C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t>The range statement relates to the Unit of Competency as a whole. It allows for different work environments an</w:t>
            </w:r>
            <w:r w:rsidRPr="00A302C6">
              <w:t>d situations that may affect performance. Bold italicised wording, if used in the performance criteria, is detailed below. Essential operating conditions that may be present with training and assessment (depending on the work situation, needs of the candid</w:t>
            </w:r>
            <w:r w:rsidRPr="00A302C6">
              <w:t>ate, accessibility of the item, and local industry and regional contexts) may also be included.</w:t>
            </w:r>
          </w:p>
        </w:tc>
      </w:tr>
      <w:tr w:rsidTr="00A302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2C6">
            <w:pPr>
              <w:pStyle w:val="BodyText"/>
              <w:rPr>
                <w:lang w:val="en-NZ"/>
              </w:rPr>
            </w:pPr>
            <w:r w:rsidRPr="00A302C6">
              <w:rPr>
                <w:rStyle w:val="BoldandItalics"/>
              </w:rPr>
              <w:t>Extent of determination of other species</w:t>
            </w:r>
            <w:r w:rsidRPr="00A302C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2C6" w:rsidP="00A302C6">
            <w:pPr>
              <w:pStyle w:val="BodyText"/>
            </w:pPr>
            <w:r w:rsidRPr="00A302C6">
              <w:t>"complete test" if full prescribed weight of seed is tested for all other species; "limited test" if test was for a limited range of other species; "reduced test" if weight tested was less than prescribed weight; "reduced-limited test" where weight was und</w:t>
            </w:r>
            <w:r w:rsidRPr="00A302C6">
              <w:t>er prescribed weight and a limited number of species was examined; "test based on 25,000 seeds" where a sample of 25,000 seeds was examined and this sample was below the prescribed weight.</w:t>
            </w:r>
          </w:p>
        </w:tc>
      </w:tr>
    </w:tbl>
    <w:p w:rsidR="00000000" w:rsidRPr="00A302C6" w:rsidP="00A302C6">
      <w:pPr>
        <w:pStyle w:val="BodyText"/>
      </w:pPr>
    </w:p>
    <w:p w:rsidR="00000000" w:rsidRPr="00A302C6" w:rsidP="00A302C6">
      <w:pPr>
        <w:pStyle w:val="AllowPageBreak"/>
      </w:pPr>
    </w:p>
    <w:p w:rsidR="00000000" w:rsidRPr="00A302C6" w:rsidP="00A302C6">
      <w:pPr>
        <w:pStyle w:val="Heading1"/>
      </w:pPr>
      <w:bookmarkStart w:id="12" w:name="O_469367"/>
      <w:bookmarkEnd w:id="12"/>
      <w:r w:rsidRPr="00A302C6">
        <w:t>Unit Sector(s)</w:t>
      </w:r>
    </w:p>
    <w:p w:rsidR="00000000" w:rsidRPr="00A302C6" w:rsidP="00A302C6">
      <w:pPr>
        <w:pStyle w:val="BodyText"/>
      </w:pPr>
      <w:r w:rsidRPr="00A302C6">
        <w:t>Seed Testing</w:t>
      </w:r>
    </w:p>
    <w:p w:rsidR="00000000" w:rsidRPr="00A302C6" w:rsidP="00A302C6"/>
    <w:sectPr w:rsidSect="00A302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CE8" w:rsidP="00874C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E8" w:rsidP="00A302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4CE8" w:rsidP="00A302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4CE8" w:rsidP="00A302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C6" w:rsidRPr="00874CE8" w:rsidP="00874C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E8" w:rsidRPr="002D2AF8" w:rsidP="00A302C6">
    <w:pPr>
      <w:pStyle w:val="Header"/>
      <w:framePr w:wrap="around"/>
    </w:pPr>
    <w:r>
      <w:fldChar w:fldCharType="begin"/>
    </w:r>
    <w:r>
      <w:instrText xml:space="preserve"> TITLE   \* MERGEFORMAT </w:instrText>
    </w:r>
    <w:r>
      <w:fldChar w:fldCharType="separate"/>
    </w:r>
    <w:r>
      <w:t>AHCSDT307A Perform a ‘Determination of Other Seeds by Number’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874CE8" w:rsidP="00A30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702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2C6"/>
    <w:pPr>
      <w:spacing w:before="360" w:after="60"/>
      <w:outlineLvl w:val="0"/>
    </w:pPr>
    <w:rPr>
      <w:sz w:val="32"/>
    </w:rPr>
  </w:style>
  <w:style w:type="paragraph" w:styleId="Heading2">
    <w:name w:val="heading 2"/>
    <w:basedOn w:val="HeadingBase"/>
    <w:next w:val="BodyText"/>
    <w:link w:val="Heading2Char"/>
    <w:qFormat/>
    <w:rsid w:val="00A302C6"/>
    <w:pPr>
      <w:keepLines/>
      <w:spacing w:before="240" w:after="120"/>
      <w:outlineLvl w:val="1"/>
    </w:pPr>
    <w:rPr>
      <w:sz w:val="28"/>
      <w:szCs w:val="40"/>
    </w:rPr>
  </w:style>
  <w:style w:type="paragraph" w:styleId="Heading3">
    <w:name w:val="heading 3"/>
    <w:basedOn w:val="HeadingBase"/>
    <w:next w:val="BodyText"/>
    <w:link w:val="Heading3Char"/>
    <w:qFormat/>
    <w:rsid w:val="00A302C6"/>
    <w:pPr>
      <w:spacing w:before="180" w:after="120"/>
      <w:outlineLvl w:val="2"/>
    </w:pPr>
    <w:rPr>
      <w:spacing w:val="-10"/>
      <w:kern w:val="32"/>
    </w:rPr>
  </w:style>
  <w:style w:type="paragraph" w:styleId="Heading4">
    <w:name w:val="heading 4"/>
    <w:basedOn w:val="HeadingBase"/>
    <w:next w:val="BodyText"/>
    <w:link w:val="Heading4Char"/>
    <w:qFormat/>
    <w:rsid w:val="00A302C6"/>
    <w:pPr>
      <w:spacing w:before="160" w:after="120"/>
      <w:outlineLvl w:val="3"/>
    </w:pPr>
    <w:rPr>
      <w:sz w:val="22"/>
    </w:rPr>
  </w:style>
  <w:style w:type="paragraph" w:styleId="Heading5">
    <w:name w:val="heading 5"/>
    <w:basedOn w:val="HeadingBase"/>
    <w:next w:val="Normal"/>
    <w:link w:val="Heading5Char"/>
    <w:qFormat/>
    <w:rsid w:val="00A302C6"/>
    <w:pPr>
      <w:spacing w:before="80"/>
      <w:outlineLvl w:val="4"/>
    </w:pPr>
    <w:rPr>
      <w:color w:val="918585"/>
      <w:sz w:val="20"/>
    </w:rPr>
  </w:style>
  <w:style w:type="paragraph" w:styleId="Heading6">
    <w:name w:val="heading 6"/>
    <w:basedOn w:val="HeadingBase"/>
    <w:next w:val="Normal"/>
    <w:link w:val="Heading6Char"/>
    <w:qFormat/>
    <w:rsid w:val="00A302C6"/>
    <w:pPr>
      <w:spacing w:before="60"/>
      <w:outlineLvl w:val="5"/>
    </w:pPr>
    <w:rPr>
      <w:color w:val="918585"/>
      <w:sz w:val="20"/>
    </w:rPr>
  </w:style>
  <w:style w:type="paragraph" w:styleId="Heading7">
    <w:name w:val="heading 7"/>
    <w:basedOn w:val="Normal"/>
    <w:next w:val="Normal"/>
    <w:link w:val="Heading7Char"/>
    <w:qFormat/>
    <w:rsid w:val="00A302C6"/>
    <w:pPr>
      <w:ind w:left="720"/>
      <w:outlineLvl w:val="6"/>
    </w:pPr>
    <w:rPr>
      <w:i/>
    </w:rPr>
  </w:style>
  <w:style w:type="paragraph" w:styleId="Heading8">
    <w:name w:val="heading 8"/>
    <w:basedOn w:val="Normal"/>
    <w:next w:val="Normal"/>
    <w:link w:val="Heading8Char"/>
    <w:qFormat/>
    <w:rsid w:val="00A302C6"/>
    <w:pPr>
      <w:ind w:left="720"/>
      <w:outlineLvl w:val="7"/>
    </w:pPr>
    <w:rPr>
      <w:i/>
    </w:rPr>
  </w:style>
  <w:style w:type="paragraph" w:styleId="Heading9">
    <w:name w:val="heading 9"/>
    <w:basedOn w:val="Normal"/>
    <w:next w:val="Normal"/>
    <w:link w:val="Heading9Char"/>
    <w:qFormat/>
    <w:rsid w:val="00A302C6"/>
    <w:pPr>
      <w:ind w:left="720"/>
      <w:outlineLvl w:val="8"/>
    </w:pPr>
    <w:rPr>
      <w:i/>
    </w:rPr>
  </w:style>
  <w:style w:type="character" w:default="1" w:styleId="DefaultParagraphFont">
    <w:name w:val="Default Paragraph Font"/>
    <w:uiPriority w:val="1"/>
    <w:unhideWhenUsed/>
    <w:rsid w:val="00A30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2C6"/>
  </w:style>
  <w:style w:type="character" w:customStyle="1" w:styleId="Heading1Char">
    <w:name w:val="Heading 1 Char"/>
    <w:basedOn w:val="DefaultParagraphFont"/>
    <w:link w:val="Heading1"/>
    <w:rsid w:val="00A302C6"/>
    <w:rPr>
      <w:rFonts w:ascii="Times New Roman" w:eastAsia="Times New Roman" w:hAnsi="Times New Roman" w:cs="Times New Roman"/>
      <w:b/>
      <w:sz w:val="32"/>
      <w:szCs w:val="20"/>
      <w:lang w:eastAsia="en-US"/>
    </w:rPr>
  </w:style>
  <w:style w:type="paragraph" w:styleId="BodyText">
    <w:name w:val="Body Text"/>
    <w:basedOn w:val="Normal"/>
    <w:link w:val="BodyTextChar"/>
    <w:rsid w:val="00A302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2C6"/>
    <w:rPr>
      <w:rFonts w:ascii="Times New Roman" w:eastAsia="Times New Roman" w:hAnsi="Times New Roman" w:cs="Times New Roman"/>
      <w:sz w:val="24"/>
      <w:lang w:eastAsia="en-US"/>
    </w:rPr>
  </w:style>
  <w:style w:type="paragraph" w:styleId="Footer">
    <w:name w:val="footer"/>
    <w:basedOn w:val="Normal"/>
    <w:link w:val="FooterChar"/>
    <w:rsid w:val="00A30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2C6"/>
    <w:rPr>
      <w:rFonts w:ascii="Times New Roman" w:eastAsia="Times New Roman" w:hAnsi="Times New Roman" w:cs="Times New Roman"/>
      <w:sz w:val="16"/>
      <w:lang w:eastAsia="en-US"/>
    </w:rPr>
  </w:style>
  <w:style w:type="paragraph" w:styleId="List">
    <w:name w:val="List"/>
    <w:basedOn w:val="BodyText"/>
    <w:next w:val="BodyText"/>
    <w:rsid w:val="00A302C6"/>
    <w:pPr>
      <w:tabs>
        <w:tab w:val="left" w:pos="340"/>
      </w:tabs>
      <w:spacing w:before="60" w:after="60"/>
      <w:ind w:left="340" w:hanging="340"/>
    </w:pPr>
  </w:style>
  <w:style w:type="paragraph" w:styleId="ListBullet">
    <w:name w:val="List Bullet"/>
    <w:basedOn w:val="List"/>
    <w:rsid w:val="00A302C6"/>
    <w:pPr>
      <w:numPr>
        <w:numId w:val="12"/>
      </w:numPr>
      <w:tabs>
        <w:tab w:val="clear" w:pos="340"/>
      </w:tabs>
      <w:spacing w:before="40" w:after="40"/>
    </w:pPr>
  </w:style>
  <w:style w:type="character" w:customStyle="1" w:styleId="SpecialBold">
    <w:name w:val="Special Bold"/>
    <w:basedOn w:val="DefaultParagraphFont"/>
    <w:rsid w:val="00A302C6"/>
    <w:rPr>
      <w:b/>
      <w:spacing w:val="0"/>
    </w:rPr>
  </w:style>
  <w:style w:type="paragraph" w:customStyle="1" w:styleId="SuperHeading">
    <w:name w:val="SuperHeading"/>
    <w:basedOn w:val="Normal"/>
    <w:rsid w:val="00A302C6"/>
    <w:pPr>
      <w:spacing w:before="240" w:after="120"/>
      <w:outlineLvl w:val="0"/>
    </w:pPr>
    <w:rPr>
      <w:rFonts w:ascii="Times New Roman" w:hAnsi="Times New Roman"/>
      <w:b/>
      <w:sz w:val="28"/>
    </w:rPr>
  </w:style>
  <w:style w:type="paragraph" w:customStyle="1" w:styleId="TableHeading">
    <w:name w:val="Table Heading"/>
    <w:basedOn w:val="HeadingBase"/>
    <w:rsid w:val="00A302C6"/>
    <w:pPr>
      <w:keepLines/>
      <w:pBdr>
        <w:bottom w:val="single" w:sz="6" w:space="1" w:color="918585"/>
      </w:pBdr>
      <w:spacing w:before="240"/>
    </w:pPr>
  </w:style>
  <w:style w:type="paragraph" w:customStyle="1" w:styleId="AllowPageBreak">
    <w:name w:val="AllowPageBreak"/>
    <w:rsid w:val="00A30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02C6"/>
    <w:rPr>
      <w:b/>
      <w:i/>
      <w:u w:val="none"/>
    </w:rPr>
  </w:style>
  <w:style w:type="character" w:customStyle="1" w:styleId="Heading2Char">
    <w:name w:val="Heading 2 Char"/>
    <w:basedOn w:val="DefaultParagraphFont"/>
    <w:link w:val="Heading2"/>
    <w:rsid w:val="00A30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2C6"/>
    <w:rPr>
      <w:rFonts w:ascii="Courier New" w:eastAsia="Times New Roman" w:hAnsi="Courier New" w:cs="Times New Roman"/>
      <w:i/>
      <w:szCs w:val="20"/>
      <w:lang w:eastAsia="en-US"/>
    </w:rPr>
  </w:style>
  <w:style w:type="paragraph" w:customStyle="1" w:styleId="HeadingBase">
    <w:name w:val="Heading Base"/>
    <w:rsid w:val="00A30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2C6"/>
    <w:pPr>
      <w:tabs>
        <w:tab w:val="right" w:leader="dot" w:pos="9072"/>
      </w:tabs>
      <w:ind w:left="567"/>
    </w:pPr>
    <w:rPr>
      <w:szCs w:val="22"/>
    </w:rPr>
  </w:style>
  <w:style w:type="paragraph" w:customStyle="1" w:styleId="TOCBase">
    <w:name w:val="TOC Base"/>
    <w:rsid w:val="00A30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2C6"/>
    <w:pPr>
      <w:tabs>
        <w:tab w:val="right" w:leader="dot" w:pos="9072"/>
      </w:tabs>
      <w:spacing w:before="40" w:after="40"/>
      <w:ind w:left="284"/>
    </w:pPr>
    <w:rPr>
      <w:rFonts w:ascii="Times New Roman" w:hAnsi="Times New Roman"/>
    </w:rPr>
  </w:style>
  <w:style w:type="paragraph" w:styleId="TOC1">
    <w:name w:val="toc 1"/>
    <w:basedOn w:val="TOCBase"/>
    <w:next w:val="Normal"/>
    <w:rsid w:val="00A302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2C6"/>
    <w:pPr>
      <w:spacing w:before="5040"/>
      <w:jc w:val="center"/>
    </w:pPr>
    <w:rPr>
      <w:sz w:val="48"/>
      <w:szCs w:val="72"/>
      <w:lang w:val="en-US"/>
    </w:rPr>
  </w:style>
  <w:style w:type="character" w:customStyle="1" w:styleId="TitleChar">
    <w:name w:val="Title Char"/>
    <w:basedOn w:val="DefaultParagraphFont"/>
    <w:link w:val="Title"/>
    <w:rsid w:val="00A30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2C6"/>
    <w:pPr>
      <w:tabs>
        <w:tab w:val="left" w:pos="3600"/>
        <w:tab w:val="left" w:pos="3958"/>
      </w:tabs>
    </w:pPr>
  </w:style>
  <w:style w:type="paragraph" w:customStyle="1" w:styleId="Note">
    <w:name w:val="Note"/>
    <w:basedOn w:val="BodyText"/>
    <w:rsid w:val="00A30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2C6"/>
    <w:pPr>
      <w:framePr w:wrap="auto" w:hAnchor="text" w:y="6049"/>
    </w:pPr>
    <w:rPr>
      <w:color w:val="000000"/>
      <w:sz w:val="40"/>
    </w:rPr>
  </w:style>
  <w:style w:type="paragraph" w:customStyle="1" w:styleId="TOCTitle">
    <w:name w:val="TOCTitle"/>
    <w:basedOn w:val="Heading1"/>
    <w:rsid w:val="00A302C6"/>
    <w:pPr>
      <w:spacing w:after="240"/>
      <w:jc w:val="center"/>
      <w:outlineLvl w:val="9"/>
    </w:pPr>
    <w:rPr>
      <w:caps/>
    </w:rPr>
  </w:style>
  <w:style w:type="paragraph" w:customStyle="1" w:styleId="Version">
    <w:name w:val="Version"/>
    <w:rsid w:val="00A302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2C6"/>
    <w:pPr>
      <w:numPr>
        <w:numId w:val="13"/>
      </w:numPr>
      <w:tabs>
        <w:tab w:val="clear" w:pos="680"/>
      </w:tabs>
    </w:pPr>
  </w:style>
  <w:style w:type="paragraph" w:styleId="Index1">
    <w:name w:val="index 1"/>
    <w:basedOn w:val="Normal"/>
    <w:next w:val="Normal"/>
    <w:semiHidden/>
    <w:rsid w:val="00A302C6"/>
    <w:pPr>
      <w:keepNext w:val="0"/>
      <w:tabs>
        <w:tab w:val="right" w:pos="4176"/>
      </w:tabs>
      <w:ind w:left="198" w:hanging="198"/>
    </w:pPr>
    <w:rPr>
      <w:rFonts w:ascii="Garamond" w:hAnsi="Garamond"/>
    </w:rPr>
  </w:style>
  <w:style w:type="paragraph" w:styleId="IndexHeading">
    <w:name w:val="index heading"/>
    <w:basedOn w:val="Normal"/>
    <w:next w:val="Index1"/>
    <w:semiHidden/>
    <w:rsid w:val="00A302C6"/>
    <w:pPr>
      <w:spacing w:before="120" w:after="120"/>
    </w:pPr>
    <w:rPr>
      <w:rFonts w:ascii="Arial" w:hAnsi="Arial"/>
      <w:b/>
      <w:color w:val="918585"/>
      <w:sz w:val="24"/>
    </w:rPr>
  </w:style>
  <w:style w:type="paragraph" w:styleId="Header">
    <w:name w:val="header"/>
    <w:basedOn w:val="Normal"/>
    <w:link w:val="HeaderChar"/>
    <w:rsid w:val="00A30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2C6"/>
    <w:rPr>
      <w:rFonts w:ascii="Times New Roman" w:eastAsia="Times New Roman" w:hAnsi="Times New Roman" w:cs="Times New Roman"/>
      <w:sz w:val="16"/>
      <w:szCs w:val="20"/>
      <w:lang w:val="en-GB" w:eastAsia="en-US"/>
    </w:rPr>
  </w:style>
  <w:style w:type="paragraph" w:customStyle="1" w:styleId="Chapter">
    <w:name w:val="Chapter"/>
    <w:basedOn w:val="Normal"/>
    <w:rsid w:val="00A302C6"/>
    <w:pPr>
      <w:spacing w:before="240"/>
    </w:pPr>
    <w:rPr>
      <w:rFonts w:ascii="Times New Roman" w:hAnsi="Times New Roman"/>
      <w:smallCaps/>
      <w:spacing w:val="80"/>
      <w:sz w:val="28"/>
    </w:rPr>
  </w:style>
  <w:style w:type="paragraph" w:customStyle="1" w:styleId="InChapter">
    <w:name w:val="InChapter"/>
    <w:basedOn w:val="Heading3"/>
    <w:rsid w:val="00A302C6"/>
    <w:pPr>
      <w:spacing w:after="240"/>
      <w:outlineLvl w:val="9"/>
    </w:pPr>
    <w:rPr>
      <w:noProof/>
    </w:rPr>
  </w:style>
  <w:style w:type="paragraph" w:styleId="Index2">
    <w:name w:val="index 2"/>
    <w:basedOn w:val="Normal"/>
    <w:next w:val="Normal"/>
    <w:semiHidden/>
    <w:rsid w:val="00A302C6"/>
    <w:pPr>
      <w:tabs>
        <w:tab w:val="right" w:pos="4176"/>
      </w:tabs>
      <w:ind w:left="568" w:hanging="284"/>
    </w:pPr>
    <w:rPr>
      <w:rFonts w:ascii="Garamond" w:hAnsi="Garamond"/>
    </w:rPr>
  </w:style>
  <w:style w:type="paragraph" w:customStyle="1" w:styleId="Byline">
    <w:name w:val="Byline"/>
    <w:rsid w:val="00A30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2C6"/>
    <w:pPr>
      <w:tabs>
        <w:tab w:val="clear" w:pos="3600"/>
        <w:tab w:val="clear" w:pos="3958"/>
      </w:tabs>
      <w:jc w:val="right"/>
    </w:pPr>
  </w:style>
  <w:style w:type="character" w:styleId="Emphasis">
    <w:name w:val="Emphasis"/>
    <w:basedOn w:val="DefaultParagraphFont"/>
    <w:qFormat/>
    <w:rsid w:val="00A302C6"/>
    <w:rPr>
      <w:i/>
    </w:rPr>
  </w:style>
  <w:style w:type="paragraph" w:styleId="Caption">
    <w:name w:val="caption"/>
    <w:basedOn w:val="BodyText"/>
    <w:next w:val="Normal"/>
    <w:qFormat/>
    <w:rsid w:val="00A302C6"/>
    <w:pPr>
      <w:framePr w:w="2268" w:hSpace="181" w:vSpace="181" w:wrap="around" w:vAnchor="text" w:hAnchor="page" w:x="1135" w:y="285" w:anchorLock="1"/>
    </w:pPr>
    <w:rPr>
      <w:i/>
    </w:rPr>
  </w:style>
  <w:style w:type="paragraph" w:customStyle="1" w:styleId="MiniTOCTitle">
    <w:name w:val="MiniTOCTitle"/>
    <w:basedOn w:val="Heading4"/>
    <w:rsid w:val="00A302C6"/>
    <w:pPr>
      <w:spacing w:before="240"/>
      <w:outlineLvl w:val="9"/>
    </w:pPr>
    <w:rPr>
      <w:noProof/>
      <w:sz w:val="24"/>
    </w:rPr>
  </w:style>
  <w:style w:type="paragraph" w:customStyle="1" w:styleId="MiniTOCItem">
    <w:name w:val="MiniTOCItem"/>
    <w:basedOn w:val="ListBullet"/>
    <w:rsid w:val="00A302C6"/>
    <w:pPr>
      <w:numPr>
        <w:numId w:val="0"/>
      </w:numPr>
      <w:tabs>
        <w:tab w:val="right" w:leader="dot" w:pos="6521"/>
      </w:tabs>
      <w:spacing w:before="0" w:after="0"/>
    </w:pPr>
  </w:style>
  <w:style w:type="paragraph" w:customStyle="1" w:styleId="TOFTitle">
    <w:name w:val="TOFTitle"/>
    <w:basedOn w:val="TOCTitle"/>
    <w:rsid w:val="00A302C6"/>
  </w:style>
  <w:style w:type="paragraph" w:styleId="TableofFigures">
    <w:name w:val="table of figures"/>
    <w:basedOn w:val="Normal"/>
    <w:next w:val="Normal"/>
    <w:semiHidden/>
    <w:rsid w:val="00A302C6"/>
    <w:pPr>
      <w:tabs>
        <w:tab w:val="right" w:leader="dot" w:pos="9072"/>
      </w:tabs>
      <w:ind w:left="970" w:hanging="403"/>
    </w:pPr>
    <w:rPr>
      <w:rFonts w:ascii="Times New Roman" w:hAnsi="Times New Roman"/>
      <w:b/>
    </w:rPr>
  </w:style>
  <w:style w:type="paragraph" w:styleId="ListNumber">
    <w:name w:val="List Number"/>
    <w:basedOn w:val="List"/>
    <w:rsid w:val="00A302C6"/>
    <w:pPr>
      <w:numPr>
        <w:numId w:val="10"/>
      </w:numPr>
    </w:pPr>
  </w:style>
  <w:style w:type="character" w:customStyle="1" w:styleId="WingdingSymbols">
    <w:name w:val="Wingding Symbols"/>
    <w:rsid w:val="00A302C6"/>
    <w:rPr>
      <w:rFonts w:ascii="Wingdings" w:hAnsi="Wingdings"/>
    </w:rPr>
  </w:style>
  <w:style w:type="character" w:customStyle="1" w:styleId="HotSpot">
    <w:name w:val="HotSpot"/>
    <w:rsid w:val="00A302C6"/>
    <w:rPr>
      <w:color w:val="0033CC"/>
      <w:u w:val="none"/>
    </w:rPr>
  </w:style>
  <w:style w:type="paragraph" w:customStyle="1" w:styleId="BodyTextRight">
    <w:name w:val="Body Text Right"/>
    <w:basedOn w:val="BodyText"/>
    <w:rsid w:val="00A302C6"/>
    <w:pPr>
      <w:spacing w:before="0" w:after="0"/>
      <w:jc w:val="right"/>
    </w:pPr>
  </w:style>
  <w:style w:type="paragraph" w:styleId="Index3">
    <w:name w:val="index 3"/>
    <w:basedOn w:val="ListNumber2"/>
    <w:next w:val="Normal"/>
    <w:semiHidden/>
    <w:rsid w:val="00A302C6"/>
    <w:pPr>
      <w:numPr>
        <w:numId w:val="0"/>
      </w:numPr>
      <w:tabs>
        <w:tab w:val="right" w:leader="dot" w:pos="4176"/>
      </w:tabs>
    </w:pPr>
  </w:style>
  <w:style w:type="paragraph" w:styleId="ListNumber2">
    <w:name w:val="List Number 2"/>
    <w:basedOn w:val="List2"/>
    <w:rsid w:val="00A302C6"/>
    <w:pPr>
      <w:numPr>
        <w:numId w:val="9"/>
      </w:numPr>
      <w:tabs>
        <w:tab w:val="clear" w:pos="1060"/>
      </w:tabs>
    </w:pPr>
  </w:style>
  <w:style w:type="paragraph" w:customStyle="1" w:styleId="MarginNote">
    <w:name w:val="Margin Note"/>
    <w:basedOn w:val="BodyText"/>
    <w:rsid w:val="00A30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2C6"/>
    <w:rPr>
      <w:sz w:val="32"/>
    </w:rPr>
  </w:style>
  <w:style w:type="paragraph" w:customStyle="1" w:styleId="HeadingProcedure">
    <w:name w:val="Heading Procedure"/>
    <w:basedOn w:val="HeadingBase"/>
    <w:next w:val="Normal"/>
    <w:rsid w:val="00A302C6"/>
    <w:pPr>
      <w:tabs>
        <w:tab w:val="left" w:pos="0"/>
      </w:tabs>
      <w:spacing w:before="120" w:after="60"/>
    </w:pPr>
    <w:rPr>
      <w:i/>
      <w:color w:val="918585"/>
      <w:sz w:val="22"/>
    </w:rPr>
  </w:style>
  <w:style w:type="paragraph" w:customStyle="1" w:styleId="TableBodyText">
    <w:name w:val="Table Body Text"/>
    <w:basedOn w:val="BodyText"/>
    <w:rsid w:val="00A302C6"/>
    <w:pPr>
      <w:spacing w:before="60" w:after="60"/>
    </w:pPr>
  </w:style>
  <w:style w:type="paragraph" w:styleId="ListContinue">
    <w:name w:val="List Continue"/>
    <w:basedOn w:val="List"/>
    <w:rsid w:val="00A302C6"/>
    <w:pPr>
      <w:ind w:firstLine="0"/>
    </w:pPr>
  </w:style>
  <w:style w:type="paragraph" w:customStyle="1" w:styleId="ListNote">
    <w:name w:val="List Note"/>
    <w:basedOn w:val="List"/>
    <w:rsid w:val="00A302C6"/>
    <w:pPr>
      <w:pBdr>
        <w:top w:val="single" w:sz="6" w:space="2" w:color="918585"/>
        <w:bottom w:val="single" w:sz="6" w:space="2" w:color="918585"/>
      </w:pBdr>
      <w:tabs>
        <w:tab w:val="left" w:pos="1021"/>
      </w:tabs>
      <w:ind w:firstLine="0"/>
    </w:pPr>
  </w:style>
  <w:style w:type="paragraph" w:customStyle="1" w:styleId="Warning">
    <w:name w:val="Warning"/>
    <w:basedOn w:val="BodyText"/>
    <w:rsid w:val="00A302C6"/>
    <w:pPr>
      <w:shd w:val="clear" w:color="auto" w:fill="D9D9D9"/>
      <w:tabs>
        <w:tab w:val="left" w:pos="992"/>
      </w:tabs>
      <w:ind w:left="119" w:right="119"/>
    </w:pPr>
    <w:rPr>
      <w:sz w:val="20"/>
    </w:rPr>
  </w:style>
  <w:style w:type="paragraph" w:customStyle="1" w:styleId="MarginIcons">
    <w:name w:val="Margin Icons"/>
    <w:basedOn w:val="BodyText"/>
    <w:rsid w:val="00A30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2C6"/>
    <w:rPr>
      <w:rFonts w:ascii="Courier New" w:hAnsi="Courier New"/>
    </w:rPr>
  </w:style>
  <w:style w:type="paragraph" w:customStyle="1" w:styleId="NoteBullet">
    <w:name w:val="Note Bullet"/>
    <w:basedOn w:val="Note"/>
    <w:rsid w:val="00A302C6"/>
    <w:pPr>
      <w:tabs>
        <w:tab w:val="clear" w:pos="680"/>
      </w:tabs>
      <w:spacing w:before="60" w:after="60"/>
    </w:pPr>
  </w:style>
  <w:style w:type="paragraph" w:customStyle="1" w:styleId="SubHeading2">
    <w:name w:val="SubHeading2"/>
    <w:basedOn w:val="HeadingBase"/>
    <w:rsid w:val="00A302C6"/>
    <w:pPr>
      <w:spacing w:before="240" w:after="60"/>
    </w:pPr>
    <w:rPr>
      <w:sz w:val="20"/>
    </w:rPr>
  </w:style>
  <w:style w:type="paragraph" w:customStyle="1" w:styleId="SubHeading1">
    <w:name w:val="SubHeading1"/>
    <w:basedOn w:val="HeadingBase"/>
    <w:rsid w:val="00A302C6"/>
    <w:pPr>
      <w:spacing w:before="240" w:after="60"/>
    </w:pPr>
    <w:rPr>
      <w:color w:val="918585"/>
      <w:sz w:val="22"/>
    </w:rPr>
  </w:style>
  <w:style w:type="paragraph" w:customStyle="1" w:styleId="SideHeading">
    <w:name w:val="Side Heading"/>
    <w:basedOn w:val="HeadingBase"/>
    <w:rsid w:val="00A30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2C6"/>
    <w:pPr>
      <w:tabs>
        <w:tab w:val="num" w:pos="360"/>
      </w:tabs>
    </w:pPr>
  </w:style>
  <w:style w:type="paragraph" w:styleId="PlainText">
    <w:name w:val="Plain Text"/>
    <w:basedOn w:val="Normal"/>
    <w:link w:val="PlainTextChar"/>
    <w:rsid w:val="00A302C6"/>
    <w:rPr>
      <w:sz w:val="20"/>
    </w:rPr>
  </w:style>
  <w:style w:type="character" w:customStyle="1" w:styleId="PlainTextChar">
    <w:name w:val="Plain Text Char"/>
    <w:basedOn w:val="DefaultParagraphFont"/>
    <w:link w:val="PlainText"/>
    <w:rsid w:val="00A302C6"/>
    <w:rPr>
      <w:rFonts w:ascii="Courier New" w:eastAsia="Times New Roman" w:hAnsi="Courier New" w:cs="Times New Roman"/>
      <w:sz w:val="20"/>
      <w:szCs w:val="20"/>
      <w:lang w:eastAsia="en-US"/>
    </w:rPr>
  </w:style>
  <w:style w:type="character" w:customStyle="1" w:styleId="MenuOption">
    <w:name w:val="Menu Option"/>
    <w:basedOn w:val="DefaultParagraphFont"/>
    <w:rsid w:val="00A302C6"/>
    <w:rPr>
      <w:b/>
      <w:smallCaps/>
    </w:rPr>
  </w:style>
  <w:style w:type="paragraph" w:customStyle="1" w:styleId="TableListNumber">
    <w:name w:val="Table List Number"/>
    <w:basedOn w:val="ListNumber"/>
    <w:rsid w:val="00A302C6"/>
    <w:pPr>
      <w:numPr>
        <w:numId w:val="0"/>
      </w:numPr>
    </w:pPr>
  </w:style>
  <w:style w:type="paragraph" w:styleId="TOC4">
    <w:name w:val="toc 4"/>
    <w:basedOn w:val="TOCBase"/>
    <w:next w:val="Normal"/>
    <w:semiHidden/>
    <w:rsid w:val="00A302C6"/>
    <w:pPr>
      <w:tabs>
        <w:tab w:val="right" w:leader="dot" w:pos="9071"/>
      </w:tabs>
      <w:ind w:left="1701"/>
    </w:pPr>
  </w:style>
  <w:style w:type="paragraph" w:customStyle="1" w:styleId="ListAlpha">
    <w:name w:val="List Alpha"/>
    <w:basedOn w:val="List"/>
    <w:rsid w:val="00A302C6"/>
    <w:pPr>
      <w:numPr>
        <w:numId w:val="8"/>
      </w:numPr>
    </w:pPr>
  </w:style>
  <w:style w:type="paragraph" w:customStyle="1" w:styleId="ListAlpha2">
    <w:name w:val="List Alpha 2"/>
    <w:basedOn w:val="List2"/>
    <w:rsid w:val="00A302C6"/>
    <w:pPr>
      <w:numPr>
        <w:numId w:val="7"/>
      </w:numPr>
    </w:pPr>
  </w:style>
  <w:style w:type="paragraph" w:styleId="List2">
    <w:name w:val="List 2"/>
    <w:basedOn w:val="BodyText"/>
    <w:rsid w:val="00A302C6"/>
    <w:pPr>
      <w:tabs>
        <w:tab w:val="left" w:pos="680"/>
      </w:tabs>
      <w:spacing w:before="60" w:after="60"/>
      <w:ind w:left="680" w:hanging="340"/>
    </w:pPr>
  </w:style>
  <w:style w:type="paragraph" w:styleId="List3">
    <w:name w:val="List 3"/>
    <w:basedOn w:val="BodyText"/>
    <w:rsid w:val="00A302C6"/>
    <w:pPr>
      <w:tabs>
        <w:tab w:val="left" w:pos="1021"/>
      </w:tabs>
      <w:spacing w:before="60" w:after="60"/>
      <w:ind w:left="1020" w:hanging="340"/>
    </w:pPr>
  </w:style>
  <w:style w:type="paragraph" w:styleId="List4">
    <w:name w:val="List 4"/>
    <w:basedOn w:val="BodyText"/>
    <w:rsid w:val="00A302C6"/>
    <w:pPr>
      <w:tabs>
        <w:tab w:val="left" w:pos="1361"/>
      </w:tabs>
      <w:spacing w:before="60" w:after="60"/>
      <w:ind w:left="1361" w:hanging="340"/>
    </w:pPr>
  </w:style>
  <w:style w:type="paragraph" w:styleId="List5">
    <w:name w:val="List 5"/>
    <w:basedOn w:val="BodyText"/>
    <w:rsid w:val="00A302C6"/>
    <w:pPr>
      <w:tabs>
        <w:tab w:val="left" w:pos="1701"/>
      </w:tabs>
      <w:spacing w:before="60" w:after="60"/>
      <w:ind w:left="1701" w:hanging="340"/>
    </w:pPr>
  </w:style>
  <w:style w:type="paragraph" w:styleId="ListBullet3">
    <w:name w:val="List Bullet 3"/>
    <w:basedOn w:val="List3"/>
    <w:rsid w:val="00A302C6"/>
    <w:pPr>
      <w:numPr>
        <w:numId w:val="14"/>
      </w:numPr>
      <w:tabs>
        <w:tab w:val="clear" w:pos="1021"/>
      </w:tabs>
      <w:ind w:left="1037" w:hanging="357"/>
    </w:pPr>
  </w:style>
  <w:style w:type="paragraph" w:styleId="ListBullet4">
    <w:name w:val="List Bullet 4"/>
    <w:basedOn w:val="List4"/>
    <w:rsid w:val="00A302C6"/>
    <w:pPr>
      <w:numPr>
        <w:numId w:val="2"/>
      </w:numPr>
    </w:pPr>
  </w:style>
  <w:style w:type="paragraph" w:styleId="ListBullet5">
    <w:name w:val="List Bullet 5"/>
    <w:basedOn w:val="List5"/>
    <w:rsid w:val="00A302C6"/>
    <w:pPr>
      <w:numPr>
        <w:numId w:val="3"/>
      </w:numPr>
    </w:pPr>
  </w:style>
  <w:style w:type="paragraph" w:styleId="ListContinue2">
    <w:name w:val="List Continue 2"/>
    <w:basedOn w:val="List2"/>
    <w:rsid w:val="00A302C6"/>
    <w:pPr>
      <w:ind w:firstLine="0"/>
    </w:pPr>
  </w:style>
  <w:style w:type="paragraph" w:styleId="ListContinue3">
    <w:name w:val="List Continue 3"/>
    <w:basedOn w:val="List3"/>
    <w:rsid w:val="00A302C6"/>
    <w:pPr>
      <w:ind w:left="1021" w:firstLine="0"/>
    </w:pPr>
  </w:style>
  <w:style w:type="paragraph" w:styleId="ListContinue4">
    <w:name w:val="List Continue 4"/>
    <w:basedOn w:val="List4"/>
    <w:rsid w:val="00A302C6"/>
    <w:pPr>
      <w:ind w:firstLine="0"/>
    </w:pPr>
  </w:style>
  <w:style w:type="paragraph" w:styleId="ListContinue5">
    <w:name w:val="List Continue 5"/>
    <w:basedOn w:val="List5"/>
    <w:rsid w:val="00A302C6"/>
    <w:pPr>
      <w:ind w:firstLine="0"/>
    </w:pPr>
  </w:style>
  <w:style w:type="paragraph" w:styleId="ListNumber3">
    <w:name w:val="List Number 3"/>
    <w:basedOn w:val="List3"/>
    <w:rsid w:val="00A302C6"/>
    <w:pPr>
      <w:numPr>
        <w:numId w:val="4"/>
      </w:numPr>
    </w:pPr>
  </w:style>
  <w:style w:type="paragraph" w:styleId="ListNumber4">
    <w:name w:val="List Number 4"/>
    <w:basedOn w:val="List4"/>
    <w:rsid w:val="00A302C6"/>
    <w:pPr>
      <w:numPr>
        <w:numId w:val="5"/>
      </w:numPr>
    </w:pPr>
  </w:style>
  <w:style w:type="paragraph" w:styleId="ListNumber5">
    <w:name w:val="List Number 5"/>
    <w:basedOn w:val="List5"/>
    <w:rsid w:val="00A302C6"/>
    <w:pPr>
      <w:numPr>
        <w:numId w:val="6"/>
      </w:numPr>
    </w:pPr>
  </w:style>
  <w:style w:type="paragraph" w:styleId="BlockText">
    <w:name w:val="Block Text"/>
    <w:basedOn w:val="Normal"/>
    <w:rsid w:val="00A302C6"/>
    <w:pPr>
      <w:spacing w:after="120"/>
      <w:ind w:left="1440" w:right="1440"/>
    </w:pPr>
  </w:style>
  <w:style w:type="character" w:customStyle="1" w:styleId="Subscript">
    <w:name w:val="Subscript"/>
    <w:basedOn w:val="DefaultParagraphFont"/>
    <w:rsid w:val="00A302C6"/>
    <w:rPr>
      <w:sz w:val="16"/>
      <w:vertAlign w:val="subscript"/>
    </w:rPr>
  </w:style>
  <w:style w:type="character" w:customStyle="1" w:styleId="Superscript">
    <w:name w:val="Superscript"/>
    <w:basedOn w:val="DefaultParagraphFont"/>
    <w:rsid w:val="00A302C6"/>
    <w:rPr>
      <w:sz w:val="16"/>
      <w:vertAlign w:val="superscript"/>
    </w:rPr>
  </w:style>
  <w:style w:type="character" w:customStyle="1" w:styleId="Symbols">
    <w:name w:val="Symbols"/>
    <w:basedOn w:val="DefaultParagraphFont"/>
    <w:rsid w:val="00A302C6"/>
    <w:rPr>
      <w:rFonts w:ascii="Symbol" w:hAnsi="Symbol"/>
    </w:rPr>
  </w:style>
  <w:style w:type="character" w:customStyle="1" w:styleId="MenuOptions">
    <w:name w:val="Menu Options"/>
    <w:basedOn w:val="DefaultParagraphFont"/>
    <w:rsid w:val="00A302C6"/>
    <w:rPr>
      <w:rFonts w:ascii="Arial Narrow" w:hAnsi="Arial Narrow"/>
      <w:smallCaps/>
    </w:rPr>
  </w:style>
  <w:style w:type="character" w:customStyle="1" w:styleId="Buttons">
    <w:name w:val="Buttons"/>
    <w:basedOn w:val="DefaultParagraphFont"/>
    <w:rsid w:val="00A302C6"/>
    <w:rPr>
      <w:b/>
    </w:rPr>
  </w:style>
  <w:style w:type="character" w:customStyle="1" w:styleId="Underlined">
    <w:name w:val="Underlined"/>
    <w:basedOn w:val="DefaultParagraphFont"/>
    <w:rsid w:val="00A302C6"/>
    <w:rPr>
      <w:u w:val="single"/>
    </w:rPr>
  </w:style>
  <w:style w:type="paragraph" w:customStyle="1" w:styleId="TableBodyTextRight">
    <w:name w:val="Table Body Text Right"/>
    <w:basedOn w:val="TableBodyText"/>
    <w:rsid w:val="00A302C6"/>
    <w:pPr>
      <w:widowControl w:val="0"/>
      <w:autoSpaceDE w:val="0"/>
      <w:autoSpaceDN w:val="0"/>
      <w:adjustRightInd w:val="0"/>
      <w:jc w:val="right"/>
    </w:pPr>
    <w:rPr>
      <w:rFonts w:cs="Arial"/>
      <w:szCs w:val="18"/>
    </w:rPr>
  </w:style>
  <w:style w:type="paragraph" w:customStyle="1" w:styleId="CopyrightText">
    <w:name w:val="Copyright Text"/>
    <w:basedOn w:val="BodyText"/>
    <w:rsid w:val="00A302C6"/>
    <w:rPr>
      <w:sz w:val="18"/>
    </w:rPr>
  </w:style>
  <w:style w:type="paragraph" w:customStyle="1" w:styleId="BodySmallRight">
    <w:name w:val="Body Small Right"/>
    <w:basedOn w:val="BodyTextRight"/>
    <w:rsid w:val="00A302C6"/>
    <w:rPr>
      <w:sz w:val="18"/>
      <w:szCs w:val="18"/>
    </w:rPr>
  </w:style>
  <w:style w:type="paragraph" w:customStyle="1" w:styleId="MarginEdition">
    <w:name w:val="Margin Edition"/>
    <w:basedOn w:val="MarginNote"/>
    <w:rsid w:val="00A302C6"/>
    <w:pPr>
      <w:spacing w:before="0" w:after="0"/>
    </w:pPr>
    <w:rPr>
      <w:rFonts w:ascii="Times New Roman" w:hAnsi="Times New Roman"/>
      <w:color w:val="999999"/>
    </w:rPr>
  </w:style>
  <w:style w:type="paragraph" w:customStyle="1" w:styleId="Spacer">
    <w:name w:val="Spacer"/>
    <w:basedOn w:val="Normal"/>
    <w:rsid w:val="00A302C6"/>
    <w:rPr>
      <w:sz w:val="2"/>
      <w:szCs w:val="2"/>
    </w:rPr>
  </w:style>
  <w:style w:type="character" w:customStyle="1" w:styleId="Small">
    <w:name w:val="Small"/>
    <w:basedOn w:val="DefaultParagraphFont"/>
    <w:rsid w:val="00A302C6"/>
    <w:rPr>
      <w:sz w:val="16"/>
    </w:rPr>
  </w:style>
  <w:style w:type="paragraph" w:customStyle="1" w:styleId="WideTable">
    <w:name w:val="Wide Table"/>
    <w:basedOn w:val="Normal"/>
    <w:rsid w:val="00A302C6"/>
    <w:pPr>
      <w:ind w:left="-1418"/>
    </w:pPr>
    <w:rPr>
      <w:sz w:val="2"/>
      <w:szCs w:val="2"/>
    </w:rPr>
  </w:style>
  <w:style w:type="character" w:styleId="PageNumber">
    <w:name w:val="page number"/>
    <w:basedOn w:val="DefaultParagraphFont"/>
    <w:rsid w:val="00A302C6"/>
  </w:style>
  <w:style w:type="paragraph" w:styleId="Quote">
    <w:name w:val="Quote"/>
    <w:basedOn w:val="Heading1"/>
    <w:link w:val="QuoteChar"/>
    <w:qFormat/>
    <w:rsid w:val="00A302C6"/>
    <w:rPr>
      <w:b w:val="0"/>
      <w:sz w:val="72"/>
      <w:szCs w:val="72"/>
      <w:lang w:val="en-NZ"/>
    </w:rPr>
  </w:style>
  <w:style w:type="character" w:customStyle="1" w:styleId="QuoteChar">
    <w:name w:val="Quote Char"/>
    <w:basedOn w:val="DefaultParagraphFont"/>
    <w:link w:val="Quote"/>
    <w:rsid w:val="00A30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2C6"/>
    <w:pPr>
      <w:pageBreakBefore/>
    </w:pPr>
  </w:style>
  <w:style w:type="paragraph" w:customStyle="1" w:styleId="Border">
    <w:name w:val="Border"/>
    <w:basedOn w:val="Normal"/>
    <w:qFormat/>
    <w:rsid w:val="00A30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2C6"/>
    <w:rPr>
      <w:b/>
      <w:bCs/>
      <w:i/>
      <w:iCs/>
      <w:color w:val="auto"/>
    </w:rPr>
  </w:style>
  <w:style w:type="paragraph" w:styleId="IntenseQuote">
    <w:name w:val="Intense Quote"/>
    <w:basedOn w:val="Normal"/>
    <w:next w:val="Normal"/>
    <w:link w:val="IntenseQuoteChar"/>
    <w:uiPriority w:val="30"/>
    <w:qFormat/>
    <w:rsid w:val="00A30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2C6"/>
    <w:rPr>
      <w:smallCaps/>
      <w:color w:val="auto"/>
      <w:u w:val="single"/>
    </w:rPr>
  </w:style>
  <w:style w:type="character" w:styleId="IntenseReference">
    <w:name w:val="Intense Reference"/>
    <w:basedOn w:val="DefaultParagraphFont"/>
    <w:uiPriority w:val="32"/>
    <w:qFormat/>
    <w:rsid w:val="00A302C6"/>
    <w:rPr>
      <w:b/>
      <w:bCs/>
      <w:smallCaps/>
      <w:color w:val="auto"/>
      <w:spacing w:val="5"/>
      <w:u w:val="single"/>
    </w:rPr>
  </w:style>
  <w:style w:type="paragraph" w:customStyle="1" w:styleId="2ColumnHeading">
    <w:name w:val="2Column Heading"/>
    <w:basedOn w:val="BodyText"/>
    <w:qFormat/>
    <w:rsid w:val="00A302C6"/>
    <w:pPr>
      <w:spacing w:after="60"/>
      <w:ind w:left="-2268"/>
    </w:pPr>
    <w:rPr>
      <w:b/>
    </w:rPr>
  </w:style>
  <w:style w:type="paragraph" w:customStyle="1" w:styleId="Heading1TOC">
    <w:name w:val="Heading1 TOC"/>
    <w:basedOn w:val="Normal"/>
    <w:qFormat/>
    <w:rsid w:val="00A302C6"/>
    <w:pPr>
      <w:spacing w:before="240" w:after="120"/>
    </w:pPr>
    <w:rPr>
      <w:rFonts w:ascii="Times New Roman" w:hAnsi="Times New Roman"/>
      <w:b/>
      <w:sz w:val="32"/>
    </w:rPr>
  </w:style>
  <w:style w:type="paragraph" w:customStyle="1" w:styleId="Heading2TOC">
    <w:name w:val="Heading2 TOC"/>
    <w:basedOn w:val="Normal"/>
    <w:qFormat/>
    <w:rsid w:val="00A302C6"/>
    <w:pPr>
      <w:spacing w:before="240" w:after="60"/>
    </w:pPr>
    <w:rPr>
      <w:rFonts w:ascii="Times New Roman" w:hAnsi="Times New Roman"/>
      <w:b/>
      <w:sz w:val="28"/>
    </w:rPr>
  </w:style>
  <w:style w:type="character" w:customStyle="1" w:styleId="Underline">
    <w:name w:val="Underline"/>
    <w:basedOn w:val="DefaultParagraphFont"/>
    <w:qFormat/>
    <w:rsid w:val="00A302C6"/>
    <w:rPr>
      <w:u w:val="single"/>
    </w:rPr>
  </w:style>
  <w:style w:type="paragraph" w:styleId="BalloonText">
    <w:name w:val="Balloon Text"/>
    <w:basedOn w:val="Normal"/>
    <w:link w:val="BalloonTextChar"/>
    <w:rsid w:val="00A302C6"/>
    <w:rPr>
      <w:rFonts w:ascii="Tahoma" w:hAnsi="Tahoma" w:cs="Tahoma"/>
      <w:sz w:val="16"/>
      <w:szCs w:val="16"/>
    </w:rPr>
  </w:style>
  <w:style w:type="character" w:customStyle="1" w:styleId="BalloonTextChar">
    <w:name w:val="Balloon Text Char"/>
    <w:basedOn w:val="DefaultParagraphFont"/>
    <w:link w:val="BalloonText"/>
    <w:rsid w:val="00A30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2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2C6"/>
    <w:rPr>
      <w:b/>
      <w:color w:val="660033"/>
      <w:spacing w:val="0"/>
    </w:rPr>
  </w:style>
  <w:style w:type="paragraph" w:customStyle="1" w:styleId="Nameditemlist">
    <w:name w:val="Named item list"/>
    <w:basedOn w:val="BodyText"/>
    <w:qFormat/>
    <w:rsid w:val="00A302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4548</Characters>
  <Application>Microsoft Office Word</Application>
  <DocSecurity>0</DocSecurity>
  <Lines>151</Lines>
  <Paragraphs>80</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AHCSDT307A Perform a ‘Determination of Other Seeds by Number’ test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2012-10-12T06:39:00Z</dcterms:created>
  <dcterms:modified xsi:type="dcterms:W3CDTF">2012-10-12T06:39:00Z</dcterms:modified>
</cp:coreProperties>
</file>