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F36" w:rsidP="00CE4F36">
      <w:pPr>
        <w:pStyle w:val="Title"/>
      </w:pPr>
      <w:r>
        <w:fldChar w:fldCharType="begin"/>
      </w:r>
      <w:r>
        <w:instrText xml:space="preserve"> TITLE   \* MERGEFORMAT </w:instrText>
      </w:r>
      <w:r>
        <w:fldChar w:fldCharType="separate"/>
      </w:r>
      <w:r>
        <w:t>AHCPGD205A Prepare a grave site</w:t>
      </w:r>
      <w:r>
        <w:fldChar w:fldCharType="end"/>
      </w:r>
    </w:p>
    <w:p w:rsidR="00CE4F36" w:rsidP="00CE4F36">
      <w:pPr>
        <w:pStyle w:val="Version"/>
        <w:sectPr w:rsidSect="00B129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9AF" w:rsidP="00B129AF">
      <w:pPr>
        <w:pStyle w:val="SuperHeading"/>
      </w:pPr>
      <w:r w:rsidRPr="00B129AF">
        <w:t>AHCPGD205A Prepare a grave site</w:t>
      </w:r>
    </w:p>
    <w:p w:rsidR="00000000" w:rsidRPr="00B129AF" w:rsidP="00B129AF">
      <w:pPr>
        <w:pStyle w:val="Heading1"/>
      </w:pPr>
      <w:bookmarkStart w:id="1" w:name="O_268100"/>
      <w:bookmarkEnd w:id="1"/>
      <w:r w:rsidRPr="00B129AF">
        <w:t>Modification History</w:t>
      </w:r>
    </w:p>
    <w:p w:rsidR="00000000" w:rsidRPr="00B129AF" w:rsidP="00B129AF">
      <w:pPr>
        <w:pStyle w:val="BodyText"/>
      </w:pPr>
      <w:r w:rsidRPr="00B129AF">
        <w:t>Not Applicable</w:t>
      </w:r>
    </w:p>
    <w:p w:rsidR="00000000" w:rsidRPr="00B129AF" w:rsidP="00B129AF">
      <w:pPr>
        <w:pStyle w:val="AllowPageBreak"/>
      </w:pPr>
    </w:p>
    <w:p w:rsidR="00000000" w:rsidRPr="00B129AF" w:rsidP="00B129AF">
      <w:pPr>
        <w:pStyle w:val="Heading1"/>
      </w:pPr>
      <w:bookmarkStart w:id="2" w:name="O_189843"/>
      <w:bookmarkEnd w:id="2"/>
      <w:r w:rsidRPr="00B129AF">
        <w:t>Unit Descriptor</w:t>
      </w:r>
    </w:p>
    <w:tbl>
      <w:tblPr>
        <w:tblW w:w="0" w:type="auto"/>
        <w:tblLayout w:type="fixed"/>
        <w:tblCellMar>
          <w:left w:w="62" w:type="dxa"/>
          <w:right w:w="62" w:type="dxa"/>
        </w:tblCellMar>
        <w:tblLook w:val="0000"/>
      </w:tblPr>
      <w:tblGrid>
        <w:gridCol w:w="2673"/>
        <w:gridCol w:w="5849"/>
      </w:tblGrid>
      <w:tr w:rsidTr="00CE4F3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BodyText"/>
            </w:pPr>
            <w:r w:rsidRPr="00B129AF">
              <w:t>This unit covers the process of preparing a gravesite and defines the standard required to:  select and safely use mach</w:t>
            </w:r>
            <w:r w:rsidRPr="00B129AF">
              <w:t>inery and equipment for grave site preparation including digging graves by hand and restore a site following a burial service.</w:t>
            </w:r>
          </w:p>
        </w:tc>
      </w:tr>
    </w:tbl>
    <w:p w:rsidR="00CE4F36" w:rsidP="00B129AF">
      <w:pPr>
        <w:pStyle w:val="BodyText"/>
      </w:pPr>
    </w:p>
    <w:p w:rsidR="00CE4F36" w:rsidP="00B129AF">
      <w:pPr>
        <w:pStyle w:val="BodyText"/>
      </w:pPr>
    </w:p>
    <w:p w:rsidR="00000000" w:rsidRPr="00B129AF" w:rsidP="00B129AF">
      <w:pPr>
        <w:pStyle w:val="Heading1"/>
      </w:pPr>
      <w:bookmarkStart w:id="3" w:name="O_189847"/>
      <w:bookmarkEnd w:id="3"/>
      <w:r w:rsidRPr="00B129AF">
        <w:t>Application of the Unit</w:t>
      </w:r>
    </w:p>
    <w:tbl>
      <w:tblPr>
        <w:tblW w:w="0" w:type="auto"/>
        <w:tblLayout w:type="fixed"/>
        <w:tblCellMar>
          <w:left w:w="62" w:type="dxa"/>
          <w:right w:w="62" w:type="dxa"/>
        </w:tblCellMar>
        <w:tblLook w:val="0000"/>
      </w:tblPr>
      <w:tblGrid>
        <w:gridCol w:w="2756"/>
        <w:gridCol w:w="5766"/>
      </w:tblGrid>
      <w:tr w:rsidTr="00CE4F3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BodyText"/>
            </w:pPr>
            <w:r w:rsidRPr="00B129AF">
              <w:t>This unit applies to the process of preparing a gravesite a</w:t>
            </w:r>
            <w:r w:rsidRPr="00B129AF">
              <w:t>nd involves working in association with a fellow worker or work team.</w:t>
            </w:r>
          </w:p>
        </w:tc>
      </w:tr>
    </w:tbl>
    <w:p w:rsidR="00CE4F36" w:rsidP="00B129AF">
      <w:pPr>
        <w:pStyle w:val="BodyText"/>
      </w:pPr>
    </w:p>
    <w:p w:rsidR="00CE4F36" w:rsidP="00B129AF">
      <w:pPr>
        <w:pStyle w:val="BodyText"/>
      </w:pPr>
    </w:p>
    <w:p w:rsidR="00000000" w:rsidRPr="00B129AF" w:rsidP="00B129AF">
      <w:pPr>
        <w:pStyle w:val="Heading1"/>
      </w:pPr>
      <w:bookmarkStart w:id="4" w:name="O_276360"/>
      <w:bookmarkEnd w:id="4"/>
      <w:r w:rsidRPr="00B129AF">
        <w:t>Licensing/Regulatory Information</w:t>
      </w:r>
    </w:p>
    <w:p w:rsidR="00000000" w:rsidRPr="00B129AF" w:rsidP="00B129AF">
      <w:pPr>
        <w:pStyle w:val="BodyText"/>
      </w:pPr>
      <w:r w:rsidRPr="00B129AF">
        <w:t>Not Applicable</w:t>
      </w:r>
    </w:p>
    <w:p w:rsidR="00000000" w:rsidRPr="00B129AF" w:rsidP="00B129AF">
      <w:pPr>
        <w:pStyle w:val="AllowPageBreak"/>
      </w:pPr>
    </w:p>
    <w:p w:rsidR="00000000" w:rsidRPr="00B129AF" w:rsidP="00B129AF">
      <w:pPr>
        <w:pStyle w:val="Heading1"/>
      </w:pPr>
      <w:bookmarkStart w:id="5" w:name="O_189845"/>
      <w:bookmarkEnd w:id="5"/>
      <w:r w:rsidRPr="00B129AF">
        <w:t>Pre-Requisites</w:t>
      </w:r>
    </w:p>
    <w:tbl>
      <w:tblPr>
        <w:tblW w:w="0" w:type="auto"/>
        <w:tblLayout w:type="fixed"/>
        <w:tblCellMar>
          <w:left w:w="62" w:type="dxa"/>
          <w:right w:w="62" w:type="dxa"/>
        </w:tblCellMar>
        <w:tblLook w:val="0000"/>
      </w:tblPr>
      <w:tblGrid>
        <w:gridCol w:w="2775"/>
        <w:gridCol w:w="1295"/>
        <w:gridCol w:w="4452"/>
      </w:tblGrid>
      <w:tr w:rsidTr="00CE4F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p>
        </w:tc>
      </w:tr>
      <w:tr w:rsidTr="00CE4F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p>
        </w:tc>
      </w:tr>
      <w:tr w:rsidTr="00CE4F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BodyText"/>
            </w:pPr>
          </w:p>
        </w:tc>
      </w:tr>
    </w:tbl>
    <w:p w:rsidR="00CE4F36" w:rsidP="00B129AF">
      <w:pPr>
        <w:pStyle w:val="BodyText"/>
      </w:pPr>
    </w:p>
    <w:p w:rsidR="00CE4F36" w:rsidP="00B129AF">
      <w:pPr>
        <w:pStyle w:val="BodyText"/>
      </w:pPr>
    </w:p>
    <w:p w:rsidR="00000000" w:rsidRPr="00B129AF" w:rsidP="00B129AF">
      <w:pPr>
        <w:pStyle w:val="Heading1"/>
      </w:pPr>
      <w:bookmarkStart w:id="6" w:name="O_189844"/>
      <w:bookmarkEnd w:id="6"/>
      <w:r w:rsidRPr="00B129AF">
        <w:t>Employability Skills Information</w:t>
      </w:r>
    </w:p>
    <w:tbl>
      <w:tblPr>
        <w:tblW w:w="0" w:type="auto"/>
        <w:tblLayout w:type="fixed"/>
        <w:tblCellMar>
          <w:left w:w="62" w:type="dxa"/>
          <w:right w:w="62" w:type="dxa"/>
        </w:tblCellMar>
        <w:tblLook w:val="0000"/>
      </w:tblPr>
      <w:tblGrid>
        <w:gridCol w:w="2802"/>
        <w:gridCol w:w="5720"/>
      </w:tblGrid>
      <w:tr w:rsidTr="00CE4F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BodyText"/>
            </w:pPr>
            <w:r w:rsidRPr="00B129AF">
              <w:t>This unit contains employability skills.</w:t>
            </w:r>
          </w:p>
        </w:tc>
      </w:tr>
    </w:tbl>
    <w:p w:rsidR="00CE4F36" w:rsidP="00B129AF">
      <w:pPr>
        <w:pStyle w:val="BodyText"/>
      </w:pPr>
    </w:p>
    <w:p w:rsidR="00CE4F36" w:rsidP="00B129AF">
      <w:pPr>
        <w:pStyle w:val="BodyText"/>
      </w:pPr>
    </w:p>
    <w:p w:rsidR="00000000" w:rsidRPr="00B129AF" w:rsidP="00B129AF">
      <w:pPr>
        <w:pStyle w:val="Heading1"/>
      </w:pPr>
      <w:bookmarkStart w:id="7" w:name="O_286146"/>
      <w:bookmarkEnd w:id="7"/>
      <w:r w:rsidRPr="00B129AF">
        <w:t>Elements and Performance Criteria Pre-Content</w:t>
      </w:r>
    </w:p>
    <w:p w:rsidR="00000000" w:rsidRPr="00B129AF" w:rsidP="00B129AF">
      <w:pPr>
        <w:pStyle w:val="BodyText"/>
      </w:pPr>
      <w:r w:rsidRPr="00B129AF">
        <w:t>Not Applicable</w:t>
      </w:r>
    </w:p>
    <w:p w:rsidR="00000000" w:rsidRPr="00B129AF" w:rsidP="00B129AF">
      <w:pPr>
        <w:pStyle w:val="AllowPageBreak"/>
      </w:pPr>
    </w:p>
    <w:p w:rsidR="00000000" w:rsidRPr="00B129AF" w:rsidP="00B129AF">
      <w:pPr>
        <w:pStyle w:val="Heading1"/>
      </w:pPr>
      <w:bookmarkStart w:id="8" w:name="O_232813"/>
      <w:bookmarkEnd w:id="8"/>
      <w:r w:rsidRPr="00B129AF">
        <w:t>Elements and Performance Criteria</w:t>
      </w:r>
    </w:p>
    <w:tbl>
      <w:tblPr>
        <w:tblW w:w="0" w:type="auto"/>
        <w:tblLayout w:type="fixed"/>
        <w:tblCellMar>
          <w:left w:w="62" w:type="dxa"/>
          <w:right w:w="62" w:type="dxa"/>
        </w:tblCellMar>
        <w:tblLook w:val="0000"/>
      </w:tblPr>
      <w:tblGrid>
        <w:gridCol w:w="2535"/>
        <w:gridCol w:w="5987"/>
      </w:tblGrid>
      <w:tr w:rsidTr="00CE4F36">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BodyText"/>
            </w:pPr>
            <w:r w:rsidRPr="00B129AF">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PERFORMANCE CRITERIA</w:t>
            </w:r>
          </w:p>
        </w:tc>
      </w:tr>
      <w:tr w:rsidTr="00CE4F3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p>
        </w:tc>
      </w:tr>
      <w:tr w:rsidTr="00CE4F3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List"/>
              <w:rPr>
                <w:lang w:val="en-NZ"/>
              </w:rPr>
            </w:pPr>
            <w:r w:rsidRPr="00B129AF">
              <w:t>1.</w:t>
            </w:r>
            <w:r w:rsidRPr="00B129AF">
              <w:tab/>
            </w:r>
            <w:r w:rsidRPr="00B129AF">
              <w:t>Prepare site for excavation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List2"/>
            </w:pPr>
            <w:r w:rsidRPr="00B129AF">
              <w:t>1.1.</w:t>
            </w:r>
            <w:r w:rsidRPr="00B129AF">
              <w:tab/>
              <w:t>Occupational Health and Safety (OHS) hazards are identified, risks assessed and reported to the supervisor.</w:t>
            </w:r>
          </w:p>
          <w:p w:rsidR="00000000" w:rsidRPr="00B129AF" w:rsidP="00B129AF">
            <w:pPr>
              <w:pStyle w:val="List2"/>
            </w:pPr>
            <w:r w:rsidRPr="00B129AF">
              <w:t>1.2.</w:t>
            </w:r>
            <w:r w:rsidRPr="00B129AF">
              <w:tab/>
              <w:t>Personal protective clothing and equipment is selected, used and maintained.</w:t>
            </w:r>
          </w:p>
          <w:p w:rsidR="00000000" w:rsidRPr="00B129AF" w:rsidP="00B129AF">
            <w:pPr>
              <w:pStyle w:val="List2"/>
            </w:pPr>
            <w:r w:rsidRPr="00B129AF">
              <w:t>1.3.</w:t>
            </w:r>
            <w:r w:rsidRPr="00B129AF">
              <w:tab/>
              <w:t>Tools, equipment and machine</w:t>
            </w:r>
            <w:r w:rsidRPr="00B129AF">
              <w:t>ry are prepared and used according to supervisor's instructions.</w:t>
            </w:r>
          </w:p>
          <w:p w:rsidR="00000000" w:rsidRPr="00B129AF" w:rsidP="00B129AF">
            <w:pPr>
              <w:pStyle w:val="List2"/>
            </w:pPr>
            <w:r w:rsidRPr="00B129AF">
              <w:t>1.4.</w:t>
            </w:r>
            <w:r w:rsidRPr="00B129AF">
              <w:tab/>
              <w:t>Surrounding monuments, masonry or headstones that threaten the stability of the new gravesite are inspected and removed if necessary, according to supervisor's instructions.</w:t>
            </w:r>
          </w:p>
          <w:p w:rsidR="00000000" w:rsidRPr="00B129AF" w:rsidP="00B129AF">
            <w:pPr>
              <w:pStyle w:val="List2"/>
            </w:pPr>
            <w:r w:rsidRPr="00B129AF">
              <w:t>1.5.</w:t>
            </w:r>
            <w:r w:rsidRPr="00B129AF">
              <w:tab/>
              <w:t xml:space="preserve">Sludge </w:t>
            </w:r>
            <w:r w:rsidRPr="00B129AF">
              <w:t>pump is used to remove excess water if required.</w:t>
            </w:r>
          </w:p>
          <w:p w:rsidR="00000000" w:rsidP="00B129AF">
            <w:pPr>
              <w:pStyle w:val="List2"/>
              <w:rPr>
                <w:lang w:val="en-NZ"/>
              </w:rPr>
            </w:pPr>
            <w:r w:rsidRPr="00B129AF">
              <w:t>1.6.</w:t>
            </w:r>
            <w:r w:rsidRPr="00B129AF">
              <w:tab/>
              <w:t>Gravesite is marked out to suit coffin dimensions and according to supervisor's instructions and/or enterprise policy.</w:t>
            </w:r>
          </w:p>
        </w:tc>
      </w:tr>
      <w:tr w:rsidTr="00CE4F3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List"/>
              <w:rPr>
                <w:lang w:val="en-NZ"/>
              </w:rPr>
            </w:pPr>
            <w:r w:rsidRPr="00B129AF">
              <w:t>2.</w:t>
            </w:r>
            <w:r w:rsidRPr="00B129AF">
              <w:tab/>
              <w:t>Assist with the excavation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List2"/>
            </w:pPr>
            <w:r w:rsidRPr="00B129AF">
              <w:t>2.1.</w:t>
            </w:r>
            <w:r w:rsidRPr="00B129AF">
              <w:tab/>
              <w:t>Grave is excavated according to enterprise poli</w:t>
            </w:r>
            <w:r w:rsidRPr="00B129AF">
              <w:t>cy.</w:t>
            </w:r>
          </w:p>
          <w:p w:rsidR="00000000" w:rsidRPr="00B129AF" w:rsidP="00B129AF">
            <w:pPr>
              <w:pStyle w:val="List2"/>
            </w:pPr>
            <w:r w:rsidRPr="00B129AF">
              <w:t>2.2.</w:t>
            </w:r>
            <w:r w:rsidRPr="00B129AF">
              <w:tab/>
              <w:t>Sides of grave are shored where depth of grave exceeds 1.5 metres or as determined by enterprise policy.</w:t>
            </w:r>
          </w:p>
          <w:p w:rsidR="00000000" w:rsidRPr="00B129AF" w:rsidP="00B129AF">
            <w:pPr>
              <w:pStyle w:val="List2"/>
            </w:pPr>
            <w:r w:rsidRPr="00B129AF">
              <w:t>2.3.</w:t>
            </w:r>
            <w:r w:rsidRPr="00B129AF">
              <w:tab/>
              <w:t>Surface area for 400 mm from the edge of the excavation is covered with an approved material to ensure the integrity and stability of the</w:t>
            </w:r>
            <w:r w:rsidRPr="00B129AF">
              <w:t xml:space="preserve"> soil.</w:t>
            </w:r>
          </w:p>
          <w:p w:rsidR="00000000" w:rsidRPr="00B129AF" w:rsidP="00B129AF">
            <w:pPr>
              <w:pStyle w:val="List2"/>
            </w:pPr>
            <w:r w:rsidRPr="00B129AF">
              <w:t>2.4.</w:t>
            </w:r>
            <w:r w:rsidRPr="00B129AF">
              <w:tab/>
              <w:t>Access to and egress from the excavation site is undertaken according to OHS requirements.</w:t>
            </w:r>
          </w:p>
          <w:p w:rsidR="00000000" w:rsidP="00B129AF">
            <w:pPr>
              <w:pStyle w:val="List2"/>
              <w:rPr>
                <w:lang w:val="en-NZ"/>
              </w:rPr>
            </w:pPr>
            <w:r w:rsidRPr="00B129AF">
              <w:t>2.5.</w:t>
            </w:r>
            <w:r w:rsidRPr="00B129AF">
              <w:tab/>
              <w:t>Gravesite is secured with protective restraints to limit access to the site while being established and when left unattended.</w:t>
            </w:r>
          </w:p>
        </w:tc>
      </w:tr>
      <w:tr w:rsidTr="00CE4F3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List"/>
              <w:rPr>
                <w:lang w:val="en-NZ"/>
              </w:rPr>
            </w:pPr>
            <w:r w:rsidRPr="00B129AF">
              <w:t>3.</w:t>
            </w:r>
            <w:r w:rsidRPr="00B129AF">
              <w:tab/>
              <w:t>Backfill and enhan</w:t>
            </w:r>
            <w:r w:rsidRPr="00B129AF">
              <w:t>ce the gravesite following burial</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List2"/>
            </w:pPr>
            <w:r w:rsidRPr="00B129AF">
              <w:t>3.1.</w:t>
            </w:r>
            <w:r w:rsidRPr="00B129AF">
              <w:tab/>
              <w:t>Burial hole is back-filled with soil free from large lumps, plant debris or waste material.</w:t>
            </w:r>
          </w:p>
          <w:p w:rsidR="00000000" w:rsidRPr="00B129AF" w:rsidP="00B129AF">
            <w:pPr>
              <w:pStyle w:val="List2"/>
            </w:pPr>
            <w:r w:rsidRPr="00B129AF">
              <w:t>3.2.</w:t>
            </w:r>
            <w:r w:rsidRPr="00B129AF">
              <w:tab/>
            </w:r>
            <w:r w:rsidRPr="00B129AF">
              <w:t>Backfilling techniques are employed to consolidate the soil, to minimise cavities and to restore the ground to its original level.</w:t>
            </w:r>
          </w:p>
          <w:p w:rsidR="00000000" w:rsidRPr="00B129AF" w:rsidP="00B129AF">
            <w:pPr>
              <w:pStyle w:val="List2"/>
            </w:pPr>
            <w:r w:rsidRPr="00B129AF">
              <w:t>3.3.</w:t>
            </w:r>
            <w:r w:rsidRPr="00B129AF">
              <w:tab/>
              <w:t>Surrounding monuments, masonry or headstones are replaced as necessary.</w:t>
            </w:r>
          </w:p>
          <w:p w:rsidR="00000000" w:rsidRPr="00B129AF" w:rsidP="00B129AF">
            <w:pPr>
              <w:pStyle w:val="List2"/>
            </w:pPr>
            <w:r w:rsidRPr="00B129AF">
              <w:t>3.4.</w:t>
            </w:r>
            <w:r w:rsidRPr="00B129AF">
              <w:tab/>
              <w:t>Waste material and plant debris removed fro</w:t>
            </w:r>
            <w:r w:rsidRPr="00B129AF">
              <w:t>m the gravesite are disposed of in an environmentally aware and safe manner according to enterprise policy.</w:t>
            </w:r>
          </w:p>
          <w:p w:rsidR="00000000" w:rsidRPr="00B129AF" w:rsidP="00B129AF">
            <w:pPr>
              <w:pStyle w:val="List2"/>
            </w:pPr>
            <w:r w:rsidRPr="00B129AF">
              <w:t>3.5.</w:t>
            </w:r>
            <w:r w:rsidRPr="00B129AF">
              <w:tab/>
              <w:t>Gravesite is enhanced according to supervisor's instructions and/or enterprise policy.</w:t>
            </w:r>
          </w:p>
        </w:tc>
      </w:tr>
    </w:tbl>
    <w:p w:rsidR="00CE4F36" w:rsidP="00B129AF">
      <w:pPr>
        <w:pStyle w:val="BodyText"/>
      </w:pPr>
    </w:p>
    <w:p w:rsidR="00CE4F36" w:rsidP="00B129AF">
      <w:pPr>
        <w:pStyle w:val="BodyText"/>
      </w:pPr>
    </w:p>
    <w:p w:rsidR="00000000" w:rsidRPr="00B129AF" w:rsidP="00B129AF">
      <w:pPr>
        <w:pStyle w:val="Heading1"/>
      </w:pPr>
      <w:bookmarkStart w:id="9" w:name="O_256763"/>
      <w:bookmarkEnd w:id="9"/>
      <w:r w:rsidRPr="00B129AF">
        <w:t>Required Skills and Knowledge</w:t>
      </w:r>
    </w:p>
    <w:tbl>
      <w:tblPr>
        <w:tblW w:w="0" w:type="auto"/>
        <w:tblLayout w:type="fixed"/>
        <w:tblCellMar>
          <w:left w:w="62" w:type="dxa"/>
          <w:right w:w="62" w:type="dxa"/>
        </w:tblCellMar>
        <w:tblLook w:val="0000"/>
      </w:tblPr>
      <w:tblGrid>
        <w:gridCol w:w="8522"/>
      </w:tblGrid>
      <w:tr w:rsidTr="00CE4F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REQUIRED SKILLS AND KNOWLEDGE</w:t>
            </w:r>
          </w:p>
        </w:tc>
      </w:tr>
      <w:tr w:rsidTr="00CE4F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t>This section describes the skills and knowledge required for this unit.</w:t>
            </w:r>
          </w:p>
        </w:tc>
      </w:tr>
      <w:tr w:rsidTr="00CE4F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Required skills</w:t>
            </w:r>
          </w:p>
        </w:tc>
      </w:tr>
      <w:tr w:rsidTr="00CE4F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ListBullet"/>
            </w:pPr>
            <w:r w:rsidRPr="00B129AF">
              <w:t>prepare site for excavation</w:t>
            </w:r>
          </w:p>
          <w:p w:rsidR="00000000" w:rsidRPr="00B129AF" w:rsidP="00B129AF">
            <w:pPr>
              <w:pStyle w:val="ListBullet"/>
            </w:pPr>
            <w:r w:rsidRPr="00B129AF">
              <w:t>assist with the excavation</w:t>
            </w:r>
          </w:p>
          <w:p w:rsidR="00000000" w:rsidRPr="00B129AF" w:rsidP="00B129AF">
            <w:pPr>
              <w:pStyle w:val="ListBullet"/>
            </w:pPr>
            <w:r w:rsidRPr="00B129AF">
              <w:t>shore up sides of grave as required</w:t>
            </w:r>
          </w:p>
          <w:p w:rsidR="00000000" w:rsidRPr="00B129AF" w:rsidP="00B129AF">
            <w:pPr>
              <w:pStyle w:val="ListBullet"/>
            </w:pPr>
            <w:r w:rsidRPr="00B129AF">
              <w:t>backfill and enhance the gravesite following burial</w:t>
            </w:r>
          </w:p>
          <w:p w:rsidR="00000000" w:rsidRPr="00B129AF" w:rsidP="00B129AF">
            <w:pPr>
              <w:pStyle w:val="ListBullet"/>
            </w:pPr>
            <w:r w:rsidRPr="00B129AF">
              <w:t>use literacy skills to follow sequenced written instructions and record information accurately and legibly</w:t>
            </w:r>
          </w:p>
          <w:p w:rsidR="00000000" w:rsidRPr="00B129AF" w:rsidP="00B129AF">
            <w:pPr>
              <w:pStyle w:val="ListBullet"/>
            </w:pPr>
            <w:r w:rsidRPr="00B129AF">
              <w:t>use oral communication skills/language competence to fulfil the job role as specified by the orga</w:t>
            </w:r>
            <w:r w:rsidRPr="00B129AF">
              <w:t>nisation including questioning, active listening, asking for clarification and seeking advice from supervisor</w:t>
            </w:r>
          </w:p>
          <w:p w:rsidR="00000000" w:rsidRPr="00B129AF" w:rsidP="00B129AF">
            <w:pPr>
              <w:pStyle w:val="ListBullet"/>
            </w:pPr>
            <w:r w:rsidRPr="00B129AF">
              <w:t>use numeracy skills to estimate, calculate and record routine workplace measures</w:t>
            </w:r>
          </w:p>
          <w:p w:rsidR="00000000" w:rsidP="00B129AF">
            <w:pPr>
              <w:pStyle w:val="ListBullet"/>
              <w:rPr>
                <w:lang w:val="en-NZ"/>
              </w:rPr>
            </w:pPr>
            <w:r w:rsidRPr="00B129AF">
              <w:t>use interpersonal skills to relate to people from a range of soci</w:t>
            </w:r>
            <w:r w:rsidRPr="00B129AF">
              <w:t>al, cultural and ethnic backgrounds and with a range of physical and mental abilities.</w:t>
            </w:r>
          </w:p>
        </w:tc>
      </w:tr>
      <w:tr w:rsidTr="00CE4F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Required knowledge</w:t>
            </w:r>
          </w:p>
        </w:tc>
      </w:tr>
      <w:tr w:rsidTr="00CE4F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ListBullet"/>
            </w:pPr>
            <w:r w:rsidRPr="00B129AF">
              <w:t>OHS responsibilities of employees</w:t>
            </w:r>
          </w:p>
          <w:p w:rsidR="00000000" w:rsidRPr="00B129AF" w:rsidP="00B129AF">
            <w:pPr>
              <w:pStyle w:val="ListBullet"/>
            </w:pPr>
            <w:r w:rsidRPr="00B129AF">
              <w:t>applied understanding of safe work practices when working in and around confined spaces</w:t>
            </w:r>
          </w:p>
          <w:p w:rsidR="00000000" w:rsidRPr="00B129AF" w:rsidP="00B129AF">
            <w:pPr>
              <w:pStyle w:val="ListBullet"/>
            </w:pPr>
            <w:r w:rsidRPr="00B129AF">
              <w:t xml:space="preserve">the environmental impact </w:t>
            </w:r>
            <w:r w:rsidRPr="00B129AF">
              <w:t>of soil disturbance when excavating a grave</w:t>
            </w:r>
          </w:p>
          <w:p w:rsidR="00000000" w:rsidRPr="00B129AF" w:rsidP="00B129AF">
            <w:pPr>
              <w:pStyle w:val="ListBullet"/>
            </w:pPr>
            <w:r w:rsidRPr="00B129AF">
              <w:t>the environmental implications of pumping sludge water from an excavation site and the effects it may have on surrounding gravesites.</w:t>
            </w:r>
          </w:p>
        </w:tc>
      </w:tr>
    </w:tbl>
    <w:p w:rsidR="00CE4F36" w:rsidP="00B129AF">
      <w:pPr>
        <w:pStyle w:val="BodyText"/>
      </w:pPr>
    </w:p>
    <w:p w:rsidR="00CE4F36" w:rsidP="00B129AF">
      <w:pPr>
        <w:pStyle w:val="BodyText"/>
      </w:pPr>
    </w:p>
    <w:p w:rsidR="00000000" w:rsidRPr="00B129AF" w:rsidP="00B129AF">
      <w:pPr>
        <w:pStyle w:val="AllowPageBreak"/>
      </w:pPr>
    </w:p>
    <w:p w:rsidR="00000000" w:rsidRPr="00B129AF" w:rsidP="00B129AF">
      <w:pPr>
        <w:pStyle w:val="Heading1"/>
      </w:pPr>
      <w:bookmarkStart w:id="10" w:name="O_240797"/>
      <w:bookmarkEnd w:id="10"/>
      <w:r w:rsidRPr="00B129AF">
        <w:t>Evidence Guide</w:t>
      </w:r>
    </w:p>
    <w:tbl>
      <w:tblPr>
        <w:tblW w:w="9570" w:type="dxa"/>
        <w:tblLayout w:type="fixed"/>
        <w:tblCellMar>
          <w:left w:w="62" w:type="dxa"/>
          <w:right w:w="62" w:type="dxa"/>
        </w:tblCellMar>
        <w:tblLook w:val="0000"/>
      </w:tblPr>
      <w:tblGrid>
        <w:gridCol w:w="3908"/>
        <w:gridCol w:w="5662"/>
      </w:tblGrid>
      <w:tr w:rsidTr="00CE4F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EVIDENCE GUIDE</w:t>
            </w:r>
          </w:p>
        </w:tc>
      </w:tr>
      <w:tr w:rsidTr="00CE4F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t>The evidence guide provides advice on assessment and must be read in conjunction with the performance criteria, required skills and knowledge, range statement and the Assessment Guidelines for the Training Package.</w:t>
            </w:r>
          </w:p>
        </w:tc>
      </w:tr>
      <w:tr w:rsidTr="00CE4F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p>
        </w:tc>
      </w:tr>
      <w:tr w:rsidTr="00CE4F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BodyText"/>
            </w:pPr>
            <w:r w:rsidRPr="00B129AF">
              <w:t>The evidence required to demonstrate competency in this unit must be relevant to workplace operations and satisfy holistically all of the requirements of the perfo</w:t>
            </w:r>
            <w:r w:rsidRPr="00B129AF">
              <w:t xml:space="preserve">rmance criteria and required skills and knowledge and include achievement of the following: </w:t>
            </w:r>
          </w:p>
          <w:p w:rsidR="00000000" w:rsidRPr="00B129AF" w:rsidP="00B129AF">
            <w:pPr>
              <w:pStyle w:val="ListBullet"/>
            </w:pPr>
            <w:r w:rsidRPr="00B129AF">
              <w:t>select and safely use machinery and equipment for grave site preparation including digging graves by hand</w:t>
            </w:r>
          </w:p>
          <w:p w:rsidR="00000000" w:rsidP="00B129AF">
            <w:pPr>
              <w:pStyle w:val="ListBullet"/>
              <w:rPr>
                <w:lang w:val="en-NZ"/>
              </w:rPr>
            </w:pPr>
            <w:r w:rsidRPr="00B129AF">
              <w:t>restore a site following a burial service.</w:t>
            </w:r>
          </w:p>
        </w:tc>
      </w:tr>
      <w:tr w:rsidTr="00CE4F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Context of a</w:t>
            </w:r>
            <w:r w:rsidRPr="00B129AF">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BodyText"/>
            </w:pPr>
            <w:r w:rsidRPr="00B129AF">
              <w:t>Competency requires the application of work practices under work conditions.  Selection and use of resources for some worksites may differ due to the regional or enterprise circumstances.</w:t>
            </w:r>
          </w:p>
        </w:tc>
      </w:tr>
    </w:tbl>
    <w:p w:rsidR="00CE4F36" w:rsidP="00B129AF">
      <w:pPr>
        <w:pStyle w:val="BodyText"/>
      </w:pPr>
    </w:p>
    <w:p w:rsidR="00CE4F36" w:rsidP="00B129AF">
      <w:pPr>
        <w:pStyle w:val="BodyText"/>
      </w:pPr>
    </w:p>
    <w:p w:rsidR="00000000" w:rsidRPr="00B129AF" w:rsidP="00B129AF">
      <w:pPr>
        <w:pStyle w:val="Heading1"/>
      </w:pPr>
      <w:bookmarkStart w:id="11" w:name="O_248780"/>
      <w:bookmarkEnd w:id="11"/>
      <w:r w:rsidRPr="00B129AF">
        <w:t>Range Sta</w:t>
      </w:r>
      <w:r w:rsidRPr="00B129AF">
        <w:t>tement</w:t>
      </w:r>
    </w:p>
    <w:tbl>
      <w:tblPr>
        <w:tblW w:w="0" w:type="auto"/>
        <w:tblLayout w:type="fixed"/>
        <w:tblCellMar>
          <w:left w:w="62" w:type="dxa"/>
          <w:right w:w="62" w:type="dxa"/>
        </w:tblCellMar>
        <w:tblLook w:val="0000"/>
      </w:tblPr>
      <w:tblGrid>
        <w:gridCol w:w="3498"/>
        <w:gridCol w:w="5024"/>
      </w:tblGrid>
      <w:tr w:rsidTr="00CE4F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RANGE STATEMENT</w:t>
            </w:r>
          </w:p>
        </w:tc>
      </w:tr>
      <w:tr w:rsidTr="00CE4F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t>The range statement relates to the unit of competency as a whole.</w:t>
            </w:r>
          </w:p>
        </w:tc>
      </w:tr>
      <w:tr w:rsidTr="00CE4F3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t>Grave preparation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ListBullet"/>
              <w:rPr>
                <w:lang w:val="en-NZ"/>
              </w:rPr>
            </w:pPr>
            <w:r w:rsidRPr="00B129AF">
              <w:t>all types of graves.</w:t>
            </w:r>
          </w:p>
        </w:tc>
      </w:tr>
      <w:tr w:rsidTr="00CE4F3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t>Enhancing a gravesite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ListBullet"/>
            </w:pPr>
            <w:r w:rsidRPr="00B129AF">
              <w:t>placement of monuments, headstones or masonry</w:t>
            </w:r>
          </w:p>
          <w:p w:rsidR="00000000" w:rsidRPr="00B129AF" w:rsidP="00B129AF">
            <w:pPr>
              <w:pStyle w:val="ListBullet"/>
            </w:pPr>
            <w:r w:rsidRPr="00B129AF">
              <w:t>planting of flowers or other vegetation</w:t>
            </w:r>
          </w:p>
          <w:p w:rsidR="00000000" w:rsidRPr="00B129AF" w:rsidP="00B129AF">
            <w:pPr>
              <w:pStyle w:val="ListBullet"/>
            </w:pPr>
            <w:r w:rsidRPr="00B129AF">
              <w:t>erection of fencing</w:t>
            </w:r>
          </w:p>
          <w:p w:rsidR="00000000" w:rsidRPr="00B129AF" w:rsidP="00B129AF">
            <w:pPr>
              <w:pStyle w:val="ListBullet"/>
            </w:pPr>
            <w:r w:rsidRPr="00B129AF">
              <w:t>laying of gravel/pebbles</w:t>
            </w:r>
          </w:p>
          <w:p w:rsidR="00000000" w:rsidRPr="00B129AF" w:rsidP="00B129AF">
            <w:pPr>
              <w:pStyle w:val="ListBullet"/>
            </w:pPr>
            <w:r w:rsidRPr="00B129AF">
              <w:t>installation of other decorative features.</w:t>
            </w:r>
          </w:p>
        </w:tc>
      </w:tr>
    </w:tbl>
    <w:p w:rsidR="00CE4F36" w:rsidP="00B129AF">
      <w:pPr>
        <w:pStyle w:val="BodyText"/>
      </w:pPr>
    </w:p>
    <w:p w:rsidR="00CE4F36" w:rsidP="00B129AF">
      <w:pPr>
        <w:pStyle w:val="BodyText"/>
      </w:pPr>
    </w:p>
    <w:p w:rsidR="00000000" w:rsidRPr="00B129AF" w:rsidP="00B129AF">
      <w:pPr>
        <w:pStyle w:val="Heading1"/>
      </w:pPr>
      <w:bookmarkStart w:id="12" w:name="O_189849"/>
      <w:bookmarkEnd w:id="12"/>
      <w:r w:rsidRPr="00B129AF">
        <w:t>Unit Sector(s)</w:t>
      </w:r>
    </w:p>
    <w:tbl>
      <w:tblPr>
        <w:tblW w:w="0" w:type="auto"/>
        <w:tblLayout w:type="fixed"/>
        <w:tblCellMar>
          <w:left w:w="62" w:type="dxa"/>
          <w:right w:w="62" w:type="dxa"/>
        </w:tblCellMar>
        <w:tblLook w:val="0000"/>
      </w:tblPr>
      <w:tblGrid>
        <w:gridCol w:w="2624"/>
        <w:gridCol w:w="5898"/>
      </w:tblGrid>
      <w:tr w:rsidTr="00CE4F3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BodyText"/>
            </w:pPr>
            <w:r w:rsidRPr="00B129AF">
              <w:t>Parks and gardens</w:t>
            </w:r>
          </w:p>
        </w:tc>
      </w:tr>
    </w:tbl>
    <w:p w:rsidR="00CE4F36" w:rsidP="00B129AF">
      <w:pPr>
        <w:pStyle w:val="BodyText"/>
      </w:pPr>
    </w:p>
    <w:p w:rsidR="00CE4F36" w:rsidP="00B129AF">
      <w:pPr>
        <w:pStyle w:val="BodyText"/>
      </w:pPr>
    </w:p>
    <w:p w:rsidR="00000000" w:rsidRPr="00B129AF" w:rsidP="00B129AF">
      <w:pPr>
        <w:pStyle w:val="Heading1"/>
      </w:pPr>
      <w:bookmarkStart w:id="13" w:name="O_189846"/>
      <w:bookmarkEnd w:id="13"/>
      <w:r w:rsidRPr="00B129AF">
        <w:t>Co-requisite units</w:t>
      </w:r>
    </w:p>
    <w:tbl>
      <w:tblPr>
        <w:tblW w:w="0" w:type="auto"/>
        <w:tblLayout w:type="fixed"/>
        <w:tblCellMar>
          <w:left w:w="62" w:type="dxa"/>
          <w:right w:w="62" w:type="dxa"/>
        </w:tblCellMar>
        <w:tblLook w:val="0000"/>
      </w:tblPr>
      <w:tblGrid>
        <w:gridCol w:w="2641"/>
        <w:gridCol w:w="1322"/>
        <w:gridCol w:w="4559"/>
      </w:tblGrid>
      <w:tr w:rsidTr="00CE4F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p>
        </w:tc>
      </w:tr>
      <w:tr w:rsidTr="00CE4F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p>
        </w:tc>
      </w:tr>
      <w:tr w:rsidTr="00CE4F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BodyText"/>
            </w:pPr>
          </w:p>
        </w:tc>
      </w:tr>
    </w:tbl>
    <w:p w:rsidR="00CE4F36" w:rsidP="00B129AF">
      <w:pPr>
        <w:pStyle w:val="BodyText"/>
      </w:pPr>
    </w:p>
    <w:p w:rsidR="00CE4F36" w:rsidP="00B129AF">
      <w:pPr>
        <w:pStyle w:val="BodyText"/>
      </w:pPr>
    </w:p>
    <w:p w:rsidR="00000000" w:rsidRPr="00B129AF" w:rsidP="00B129AF">
      <w:pPr>
        <w:pStyle w:val="Heading1"/>
      </w:pPr>
      <w:bookmarkStart w:id="14" w:name="O_189848"/>
      <w:bookmarkEnd w:id="14"/>
      <w:r w:rsidRPr="00B129AF">
        <w:t>Competency field</w:t>
      </w:r>
    </w:p>
    <w:tbl>
      <w:tblPr>
        <w:tblW w:w="0" w:type="auto"/>
        <w:tblLayout w:type="fixed"/>
        <w:tblCellMar>
          <w:left w:w="62" w:type="dxa"/>
          <w:right w:w="62" w:type="dxa"/>
        </w:tblCellMar>
        <w:tblLook w:val="0000"/>
      </w:tblPr>
      <w:tblGrid>
        <w:gridCol w:w="2784"/>
        <w:gridCol w:w="5738"/>
      </w:tblGrid>
      <w:tr w:rsidTr="00CE4F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9AF">
            <w:pPr>
              <w:pStyle w:val="BodyText"/>
              <w:rPr>
                <w:lang w:val="en-NZ"/>
              </w:rPr>
            </w:pPr>
            <w:r w:rsidRPr="00B129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9AF" w:rsidP="00B129AF">
            <w:pPr>
              <w:pStyle w:val="BodyText"/>
            </w:pPr>
          </w:p>
        </w:tc>
      </w:tr>
    </w:tbl>
    <w:p w:rsidR="00CE4F36" w:rsidP="00B129AF">
      <w:pPr>
        <w:pStyle w:val="BodyText"/>
      </w:pPr>
    </w:p>
    <w:p w:rsidR="00CE4F36" w:rsidP="00B129AF">
      <w:pPr>
        <w:pStyle w:val="BodyText"/>
      </w:pPr>
    </w:p>
    <w:p w:rsidR="00000000" w:rsidRPr="00B129AF" w:rsidP="00B129AF"/>
    <w:sectPr w:rsidSect="00B129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F36" w:rsidP="00CE4F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36" w:rsidP="00B12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E4F36" w:rsidP="00B129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E4F36" w:rsidP="00B129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F36" w:rsidP="00CE4F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36" w:rsidP="00B129AF">
    <w:pPr>
      <w:pStyle w:val="Header"/>
      <w:framePr w:wrap="around"/>
    </w:pPr>
    <w:r>
      <w:fldChar w:fldCharType="begin"/>
    </w:r>
    <w:r>
      <w:instrText xml:space="preserve"> TITLE   \* MERGEFORMAT </w:instrText>
    </w:r>
    <w:r>
      <w:fldChar w:fldCharType="separate"/>
    </w:r>
    <w:r>
      <w:t>AHCPGD205A Prepare a grave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4F36" w:rsidP="00B129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F83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CE2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9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29AF"/>
    <w:pPr>
      <w:spacing w:before="360" w:after="60"/>
      <w:outlineLvl w:val="0"/>
    </w:pPr>
    <w:rPr>
      <w:sz w:val="32"/>
    </w:rPr>
  </w:style>
  <w:style w:type="paragraph" w:styleId="Heading2">
    <w:name w:val="heading 2"/>
    <w:basedOn w:val="HeadingBase"/>
    <w:next w:val="BodyText"/>
    <w:link w:val="Heading2Char"/>
    <w:qFormat/>
    <w:rsid w:val="00B129AF"/>
    <w:pPr>
      <w:keepLines/>
      <w:spacing w:before="240" w:after="120"/>
      <w:outlineLvl w:val="1"/>
    </w:pPr>
    <w:rPr>
      <w:sz w:val="28"/>
      <w:szCs w:val="40"/>
    </w:rPr>
  </w:style>
  <w:style w:type="paragraph" w:styleId="Heading3">
    <w:name w:val="heading 3"/>
    <w:basedOn w:val="HeadingBase"/>
    <w:next w:val="BodyText"/>
    <w:link w:val="Heading3Char"/>
    <w:qFormat/>
    <w:rsid w:val="00B129AF"/>
    <w:pPr>
      <w:spacing w:before="180" w:after="120"/>
      <w:outlineLvl w:val="2"/>
    </w:pPr>
    <w:rPr>
      <w:spacing w:val="-10"/>
      <w:kern w:val="32"/>
    </w:rPr>
  </w:style>
  <w:style w:type="paragraph" w:styleId="Heading4">
    <w:name w:val="heading 4"/>
    <w:basedOn w:val="HeadingBase"/>
    <w:next w:val="BodyText"/>
    <w:link w:val="Heading4Char"/>
    <w:qFormat/>
    <w:rsid w:val="00B129AF"/>
    <w:pPr>
      <w:spacing w:before="160" w:after="120"/>
      <w:outlineLvl w:val="3"/>
    </w:pPr>
    <w:rPr>
      <w:sz w:val="22"/>
    </w:rPr>
  </w:style>
  <w:style w:type="paragraph" w:styleId="Heading5">
    <w:name w:val="heading 5"/>
    <w:basedOn w:val="HeadingBase"/>
    <w:next w:val="Normal"/>
    <w:link w:val="Heading5Char"/>
    <w:qFormat/>
    <w:rsid w:val="00B129AF"/>
    <w:pPr>
      <w:spacing w:before="80"/>
      <w:outlineLvl w:val="4"/>
    </w:pPr>
    <w:rPr>
      <w:color w:val="918585"/>
      <w:sz w:val="20"/>
    </w:rPr>
  </w:style>
  <w:style w:type="paragraph" w:styleId="Heading6">
    <w:name w:val="heading 6"/>
    <w:basedOn w:val="HeadingBase"/>
    <w:next w:val="Normal"/>
    <w:link w:val="Heading6Char"/>
    <w:qFormat/>
    <w:rsid w:val="00B129AF"/>
    <w:pPr>
      <w:spacing w:before="60"/>
      <w:outlineLvl w:val="5"/>
    </w:pPr>
    <w:rPr>
      <w:color w:val="918585"/>
      <w:sz w:val="20"/>
    </w:rPr>
  </w:style>
  <w:style w:type="paragraph" w:styleId="Heading7">
    <w:name w:val="heading 7"/>
    <w:basedOn w:val="Normal"/>
    <w:next w:val="Normal"/>
    <w:link w:val="Heading7Char"/>
    <w:qFormat/>
    <w:rsid w:val="00B129AF"/>
    <w:pPr>
      <w:ind w:left="720"/>
      <w:outlineLvl w:val="6"/>
    </w:pPr>
    <w:rPr>
      <w:i/>
    </w:rPr>
  </w:style>
  <w:style w:type="paragraph" w:styleId="Heading8">
    <w:name w:val="heading 8"/>
    <w:basedOn w:val="Normal"/>
    <w:next w:val="Normal"/>
    <w:link w:val="Heading8Char"/>
    <w:qFormat/>
    <w:rsid w:val="00B129AF"/>
    <w:pPr>
      <w:ind w:left="720"/>
      <w:outlineLvl w:val="7"/>
    </w:pPr>
    <w:rPr>
      <w:i/>
    </w:rPr>
  </w:style>
  <w:style w:type="paragraph" w:styleId="Heading9">
    <w:name w:val="heading 9"/>
    <w:basedOn w:val="Normal"/>
    <w:next w:val="Normal"/>
    <w:link w:val="Heading9Char"/>
    <w:qFormat/>
    <w:rsid w:val="00B129AF"/>
    <w:pPr>
      <w:ind w:left="720"/>
      <w:outlineLvl w:val="8"/>
    </w:pPr>
    <w:rPr>
      <w:i/>
    </w:rPr>
  </w:style>
  <w:style w:type="character" w:default="1" w:styleId="DefaultParagraphFont">
    <w:name w:val="Default Paragraph Font"/>
    <w:uiPriority w:val="1"/>
    <w:unhideWhenUsed/>
    <w:rsid w:val="00B12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9AF"/>
  </w:style>
  <w:style w:type="character" w:customStyle="1" w:styleId="Heading1Char">
    <w:name w:val="Heading 1 Char"/>
    <w:basedOn w:val="DefaultParagraphFont"/>
    <w:link w:val="Heading1"/>
    <w:rsid w:val="00B129AF"/>
    <w:rPr>
      <w:rFonts w:ascii="Times New Roman" w:eastAsia="Times New Roman" w:hAnsi="Times New Roman" w:cs="Times New Roman"/>
      <w:b/>
      <w:sz w:val="32"/>
      <w:szCs w:val="20"/>
      <w:lang w:eastAsia="en-US"/>
    </w:rPr>
  </w:style>
  <w:style w:type="paragraph" w:styleId="BodyText">
    <w:name w:val="Body Text"/>
    <w:basedOn w:val="Normal"/>
    <w:link w:val="BodyTextChar"/>
    <w:rsid w:val="00B129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9AF"/>
    <w:rPr>
      <w:rFonts w:ascii="Times New Roman" w:eastAsia="Times New Roman" w:hAnsi="Times New Roman" w:cs="Times New Roman"/>
      <w:sz w:val="24"/>
      <w:lang w:val="en-US" w:eastAsia="en-US"/>
    </w:rPr>
  </w:style>
  <w:style w:type="paragraph" w:styleId="Footer">
    <w:name w:val="footer"/>
    <w:basedOn w:val="Normal"/>
    <w:link w:val="FooterChar"/>
    <w:rsid w:val="00B12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9AF"/>
    <w:rPr>
      <w:rFonts w:ascii="Times New Roman" w:eastAsia="Times New Roman" w:hAnsi="Times New Roman" w:cs="Times New Roman"/>
      <w:sz w:val="16"/>
      <w:lang w:val="en-US" w:eastAsia="en-US"/>
    </w:rPr>
  </w:style>
  <w:style w:type="paragraph" w:styleId="List">
    <w:name w:val="List"/>
    <w:basedOn w:val="BodyText"/>
    <w:next w:val="BodyText"/>
    <w:rsid w:val="00B129AF"/>
    <w:pPr>
      <w:tabs>
        <w:tab w:val="left" w:pos="340"/>
      </w:tabs>
      <w:spacing w:before="60" w:after="60"/>
      <w:ind w:left="340" w:hanging="340"/>
    </w:pPr>
  </w:style>
  <w:style w:type="paragraph" w:styleId="ListBullet">
    <w:name w:val="List Bullet"/>
    <w:basedOn w:val="List"/>
    <w:rsid w:val="00B129AF"/>
    <w:pPr>
      <w:numPr>
        <w:numId w:val="12"/>
      </w:numPr>
      <w:tabs>
        <w:tab w:val="clear" w:pos="340"/>
      </w:tabs>
      <w:spacing w:before="40" w:after="40"/>
    </w:pPr>
  </w:style>
  <w:style w:type="character" w:customStyle="1" w:styleId="SpecialBold">
    <w:name w:val="Special Bold"/>
    <w:basedOn w:val="DefaultParagraphFont"/>
    <w:rsid w:val="00B129AF"/>
    <w:rPr>
      <w:b/>
      <w:spacing w:val="0"/>
    </w:rPr>
  </w:style>
  <w:style w:type="paragraph" w:styleId="Header">
    <w:name w:val="header"/>
    <w:basedOn w:val="Normal"/>
    <w:link w:val="HeaderChar"/>
    <w:rsid w:val="00B12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9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29AF"/>
    <w:pPr>
      <w:spacing w:before="240" w:after="120"/>
      <w:outlineLvl w:val="0"/>
    </w:pPr>
    <w:rPr>
      <w:rFonts w:ascii="Times New Roman" w:hAnsi="Times New Roman"/>
      <w:b/>
      <w:sz w:val="28"/>
    </w:rPr>
  </w:style>
  <w:style w:type="paragraph" w:customStyle="1" w:styleId="AllowPageBreak">
    <w:name w:val="AllowPageBreak"/>
    <w:rsid w:val="00B129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29AF"/>
    <w:pPr>
      <w:tabs>
        <w:tab w:val="left" w:pos="680"/>
      </w:tabs>
      <w:spacing w:before="60" w:after="60"/>
      <w:ind w:left="680" w:hanging="340"/>
    </w:pPr>
  </w:style>
  <w:style w:type="character" w:customStyle="1" w:styleId="Heading2Char">
    <w:name w:val="Heading 2 Char"/>
    <w:basedOn w:val="DefaultParagraphFont"/>
    <w:link w:val="Heading2"/>
    <w:rsid w:val="00B12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9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29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29AF"/>
    <w:rPr>
      <w:rFonts w:ascii="Courier New" w:eastAsia="Times New Roman" w:hAnsi="Courier New" w:cs="Times New Roman"/>
      <w:i/>
      <w:szCs w:val="20"/>
      <w:lang w:val="en-US" w:eastAsia="en-US"/>
    </w:rPr>
  </w:style>
  <w:style w:type="paragraph" w:customStyle="1" w:styleId="HeadingBase">
    <w:name w:val="Heading Base"/>
    <w:rsid w:val="00B12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9AF"/>
    <w:pPr>
      <w:tabs>
        <w:tab w:val="right" w:leader="dot" w:pos="9072"/>
      </w:tabs>
      <w:ind w:left="567"/>
    </w:pPr>
    <w:rPr>
      <w:szCs w:val="22"/>
    </w:rPr>
  </w:style>
  <w:style w:type="paragraph" w:customStyle="1" w:styleId="TOCBase">
    <w:name w:val="TOC Base"/>
    <w:rsid w:val="00B12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9AF"/>
    <w:pPr>
      <w:tabs>
        <w:tab w:val="right" w:leader="dot" w:pos="9072"/>
      </w:tabs>
      <w:spacing w:before="40" w:after="40"/>
      <w:ind w:left="284"/>
    </w:pPr>
    <w:rPr>
      <w:rFonts w:ascii="Times New Roman" w:hAnsi="Times New Roman"/>
    </w:rPr>
  </w:style>
  <w:style w:type="paragraph" w:styleId="TOC1">
    <w:name w:val="toc 1"/>
    <w:basedOn w:val="TOCBase"/>
    <w:next w:val="Normal"/>
    <w:rsid w:val="00B129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9AF"/>
    <w:pPr>
      <w:spacing w:before="5040"/>
      <w:jc w:val="center"/>
    </w:pPr>
    <w:rPr>
      <w:sz w:val="48"/>
      <w:szCs w:val="72"/>
      <w:lang w:val="en-US"/>
    </w:rPr>
  </w:style>
  <w:style w:type="character" w:customStyle="1" w:styleId="TitleChar">
    <w:name w:val="Title Char"/>
    <w:basedOn w:val="DefaultParagraphFont"/>
    <w:link w:val="Title"/>
    <w:rsid w:val="00B12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9AF"/>
    <w:pPr>
      <w:tabs>
        <w:tab w:val="left" w:pos="3600"/>
        <w:tab w:val="left" w:pos="3958"/>
      </w:tabs>
    </w:pPr>
  </w:style>
  <w:style w:type="paragraph" w:customStyle="1" w:styleId="Note">
    <w:name w:val="Note"/>
    <w:basedOn w:val="BodyText"/>
    <w:rsid w:val="00B12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9AF"/>
    <w:pPr>
      <w:framePr w:wrap="auto" w:hAnchor="text" w:y="6049"/>
    </w:pPr>
    <w:rPr>
      <w:color w:val="000000"/>
      <w:sz w:val="40"/>
    </w:rPr>
  </w:style>
  <w:style w:type="paragraph" w:customStyle="1" w:styleId="TOCTitle">
    <w:name w:val="TOCTitle"/>
    <w:basedOn w:val="Heading1"/>
    <w:rsid w:val="00B129AF"/>
    <w:pPr>
      <w:spacing w:after="240"/>
      <w:jc w:val="center"/>
      <w:outlineLvl w:val="9"/>
    </w:pPr>
    <w:rPr>
      <w:caps/>
    </w:rPr>
  </w:style>
  <w:style w:type="paragraph" w:customStyle="1" w:styleId="Version">
    <w:name w:val="Version"/>
    <w:rsid w:val="00B129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29AF"/>
    <w:pPr>
      <w:numPr>
        <w:numId w:val="13"/>
      </w:numPr>
      <w:tabs>
        <w:tab w:val="clear" w:pos="680"/>
      </w:tabs>
    </w:pPr>
  </w:style>
  <w:style w:type="paragraph" w:styleId="Index1">
    <w:name w:val="index 1"/>
    <w:basedOn w:val="Normal"/>
    <w:next w:val="Normal"/>
    <w:semiHidden/>
    <w:rsid w:val="00B129AF"/>
    <w:pPr>
      <w:keepNext w:val="0"/>
      <w:tabs>
        <w:tab w:val="right" w:pos="4176"/>
      </w:tabs>
      <w:ind w:left="198" w:hanging="198"/>
    </w:pPr>
    <w:rPr>
      <w:rFonts w:ascii="Garamond" w:hAnsi="Garamond"/>
    </w:rPr>
  </w:style>
  <w:style w:type="paragraph" w:styleId="IndexHeading">
    <w:name w:val="index heading"/>
    <w:basedOn w:val="Normal"/>
    <w:next w:val="Index1"/>
    <w:semiHidden/>
    <w:rsid w:val="00B129AF"/>
    <w:pPr>
      <w:spacing w:before="120" w:after="120"/>
    </w:pPr>
    <w:rPr>
      <w:rFonts w:ascii="Arial" w:hAnsi="Arial"/>
      <w:b/>
      <w:color w:val="918585"/>
      <w:sz w:val="24"/>
    </w:rPr>
  </w:style>
  <w:style w:type="paragraph" w:customStyle="1" w:styleId="Chapter">
    <w:name w:val="Chapter"/>
    <w:basedOn w:val="Normal"/>
    <w:rsid w:val="00B129AF"/>
    <w:pPr>
      <w:spacing w:before="240"/>
    </w:pPr>
    <w:rPr>
      <w:rFonts w:ascii="Times New Roman" w:hAnsi="Times New Roman"/>
      <w:smallCaps/>
      <w:spacing w:val="80"/>
      <w:sz w:val="28"/>
    </w:rPr>
  </w:style>
  <w:style w:type="paragraph" w:customStyle="1" w:styleId="InChapter">
    <w:name w:val="InChapter"/>
    <w:basedOn w:val="Heading3"/>
    <w:rsid w:val="00B129AF"/>
    <w:pPr>
      <w:spacing w:after="240"/>
      <w:outlineLvl w:val="9"/>
    </w:pPr>
    <w:rPr>
      <w:noProof/>
    </w:rPr>
  </w:style>
  <w:style w:type="paragraph" w:styleId="Index2">
    <w:name w:val="index 2"/>
    <w:basedOn w:val="Normal"/>
    <w:next w:val="Normal"/>
    <w:semiHidden/>
    <w:rsid w:val="00B129AF"/>
    <w:pPr>
      <w:tabs>
        <w:tab w:val="right" w:pos="4176"/>
      </w:tabs>
      <w:ind w:left="568" w:hanging="284"/>
    </w:pPr>
    <w:rPr>
      <w:rFonts w:ascii="Garamond" w:hAnsi="Garamond"/>
    </w:rPr>
  </w:style>
  <w:style w:type="paragraph" w:customStyle="1" w:styleId="Byline">
    <w:name w:val="Byline"/>
    <w:rsid w:val="00B12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9AF"/>
    <w:pPr>
      <w:tabs>
        <w:tab w:val="clear" w:pos="3600"/>
        <w:tab w:val="clear" w:pos="3958"/>
      </w:tabs>
      <w:jc w:val="right"/>
    </w:pPr>
  </w:style>
  <w:style w:type="character" w:styleId="Emphasis">
    <w:name w:val="Emphasis"/>
    <w:basedOn w:val="DefaultParagraphFont"/>
    <w:qFormat/>
    <w:rsid w:val="00B129AF"/>
    <w:rPr>
      <w:i/>
    </w:rPr>
  </w:style>
  <w:style w:type="paragraph" w:styleId="Caption">
    <w:name w:val="caption"/>
    <w:basedOn w:val="BodyText"/>
    <w:next w:val="Normal"/>
    <w:qFormat/>
    <w:rsid w:val="00B129AF"/>
    <w:pPr>
      <w:framePr w:w="2268" w:hSpace="181" w:vSpace="181" w:wrap="around" w:vAnchor="text" w:hAnchor="page" w:x="1135" w:y="285" w:anchorLock="1"/>
    </w:pPr>
    <w:rPr>
      <w:i/>
    </w:rPr>
  </w:style>
  <w:style w:type="paragraph" w:customStyle="1" w:styleId="MiniTOCTitle">
    <w:name w:val="MiniTOCTitle"/>
    <w:basedOn w:val="Heading4"/>
    <w:rsid w:val="00B129AF"/>
    <w:pPr>
      <w:spacing w:before="240"/>
      <w:outlineLvl w:val="9"/>
    </w:pPr>
    <w:rPr>
      <w:noProof/>
      <w:sz w:val="24"/>
    </w:rPr>
  </w:style>
  <w:style w:type="paragraph" w:customStyle="1" w:styleId="MiniTOCItem">
    <w:name w:val="MiniTOCItem"/>
    <w:basedOn w:val="ListBullet"/>
    <w:rsid w:val="00B129AF"/>
    <w:pPr>
      <w:numPr>
        <w:numId w:val="0"/>
      </w:numPr>
      <w:tabs>
        <w:tab w:val="right" w:leader="dot" w:pos="6521"/>
      </w:tabs>
      <w:spacing w:before="0" w:after="0"/>
    </w:pPr>
  </w:style>
  <w:style w:type="paragraph" w:customStyle="1" w:styleId="TOFTitle">
    <w:name w:val="TOFTitle"/>
    <w:basedOn w:val="TOCTitle"/>
    <w:rsid w:val="00B129AF"/>
  </w:style>
  <w:style w:type="paragraph" w:styleId="TableofFigures">
    <w:name w:val="table of figures"/>
    <w:basedOn w:val="Normal"/>
    <w:next w:val="Normal"/>
    <w:semiHidden/>
    <w:rsid w:val="00B129AF"/>
    <w:pPr>
      <w:tabs>
        <w:tab w:val="right" w:leader="dot" w:pos="9072"/>
      </w:tabs>
      <w:ind w:left="970" w:hanging="403"/>
    </w:pPr>
    <w:rPr>
      <w:rFonts w:ascii="Times New Roman" w:hAnsi="Times New Roman"/>
      <w:b/>
    </w:rPr>
  </w:style>
  <w:style w:type="paragraph" w:styleId="ListNumber">
    <w:name w:val="List Number"/>
    <w:basedOn w:val="List"/>
    <w:rsid w:val="00B129AF"/>
    <w:pPr>
      <w:numPr>
        <w:numId w:val="10"/>
      </w:numPr>
    </w:pPr>
  </w:style>
  <w:style w:type="character" w:customStyle="1" w:styleId="WingdingSymbols">
    <w:name w:val="Wingding Symbols"/>
    <w:rsid w:val="00B129AF"/>
    <w:rPr>
      <w:rFonts w:ascii="Wingdings" w:hAnsi="Wingdings"/>
    </w:rPr>
  </w:style>
  <w:style w:type="paragraph" w:customStyle="1" w:styleId="TableHeading">
    <w:name w:val="Table Heading"/>
    <w:basedOn w:val="HeadingBase"/>
    <w:rsid w:val="00B129AF"/>
    <w:pPr>
      <w:keepLines/>
      <w:pBdr>
        <w:bottom w:val="single" w:sz="6" w:space="1" w:color="918585"/>
      </w:pBdr>
      <w:spacing w:before="240"/>
    </w:pPr>
  </w:style>
  <w:style w:type="character" w:customStyle="1" w:styleId="HotSpot">
    <w:name w:val="HotSpot"/>
    <w:rsid w:val="00B129AF"/>
    <w:rPr>
      <w:color w:val="0033CC"/>
      <w:u w:val="none"/>
    </w:rPr>
  </w:style>
  <w:style w:type="paragraph" w:customStyle="1" w:styleId="BodyTextRight">
    <w:name w:val="Body Text Right"/>
    <w:basedOn w:val="BodyText"/>
    <w:rsid w:val="00B129AF"/>
    <w:pPr>
      <w:spacing w:before="0" w:after="0"/>
      <w:jc w:val="right"/>
    </w:pPr>
  </w:style>
  <w:style w:type="paragraph" w:styleId="Index3">
    <w:name w:val="index 3"/>
    <w:basedOn w:val="ListNumber2"/>
    <w:next w:val="Normal"/>
    <w:semiHidden/>
    <w:rsid w:val="00B129AF"/>
    <w:pPr>
      <w:numPr>
        <w:numId w:val="0"/>
      </w:numPr>
      <w:tabs>
        <w:tab w:val="right" w:leader="dot" w:pos="4176"/>
      </w:tabs>
    </w:pPr>
  </w:style>
  <w:style w:type="paragraph" w:styleId="ListNumber2">
    <w:name w:val="List Number 2"/>
    <w:basedOn w:val="List2"/>
    <w:rsid w:val="00B129AF"/>
    <w:pPr>
      <w:numPr>
        <w:numId w:val="9"/>
      </w:numPr>
      <w:tabs>
        <w:tab w:val="clear" w:pos="1060"/>
      </w:tabs>
    </w:pPr>
  </w:style>
  <w:style w:type="paragraph" w:customStyle="1" w:styleId="MarginNote">
    <w:name w:val="Margin Note"/>
    <w:basedOn w:val="BodyText"/>
    <w:rsid w:val="00B12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9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29AF"/>
    <w:rPr>
      <w:sz w:val="32"/>
    </w:rPr>
  </w:style>
  <w:style w:type="paragraph" w:customStyle="1" w:styleId="HeadingProcedure">
    <w:name w:val="Heading Procedure"/>
    <w:basedOn w:val="HeadingBase"/>
    <w:next w:val="Normal"/>
    <w:rsid w:val="00B129AF"/>
    <w:pPr>
      <w:tabs>
        <w:tab w:val="left" w:pos="0"/>
      </w:tabs>
      <w:spacing w:before="120" w:after="60"/>
    </w:pPr>
    <w:rPr>
      <w:i/>
      <w:color w:val="918585"/>
      <w:sz w:val="22"/>
    </w:rPr>
  </w:style>
  <w:style w:type="paragraph" w:customStyle="1" w:styleId="TableBodyText">
    <w:name w:val="Table Body Text"/>
    <w:basedOn w:val="BodyText"/>
    <w:rsid w:val="00B129AF"/>
    <w:pPr>
      <w:spacing w:before="60" w:after="60"/>
    </w:pPr>
  </w:style>
  <w:style w:type="paragraph" w:styleId="ListContinue">
    <w:name w:val="List Continue"/>
    <w:basedOn w:val="List"/>
    <w:rsid w:val="00B129AF"/>
    <w:pPr>
      <w:ind w:firstLine="0"/>
    </w:pPr>
  </w:style>
  <w:style w:type="paragraph" w:customStyle="1" w:styleId="ListNote">
    <w:name w:val="List Note"/>
    <w:basedOn w:val="List"/>
    <w:rsid w:val="00B129AF"/>
    <w:pPr>
      <w:pBdr>
        <w:top w:val="single" w:sz="6" w:space="2" w:color="918585"/>
        <w:bottom w:val="single" w:sz="6" w:space="2" w:color="918585"/>
      </w:pBdr>
      <w:tabs>
        <w:tab w:val="left" w:pos="1021"/>
      </w:tabs>
      <w:ind w:firstLine="0"/>
    </w:pPr>
  </w:style>
  <w:style w:type="paragraph" w:customStyle="1" w:styleId="Warning">
    <w:name w:val="Warning"/>
    <w:basedOn w:val="BodyText"/>
    <w:rsid w:val="00B129AF"/>
    <w:pPr>
      <w:shd w:val="clear" w:color="auto" w:fill="D9D9D9"/>
      <w:tabs>
        <w:tab w:val="left" w:pos="992"/>
      </w:tabs>
      <w:ind w:left="119" w:right="119"/>
    </w:pPr>
    <w:rPr>
      <w:sz w:val="20"/>
    </w:rPr>
  </w:style>
  <w:style w:type="paragraph" w:customStyle="1" w:styleId="MarginIcons">
    <w:name w:val="Margin Icons"/>
    <w:basedOn w:val="BodyText"/>
    <w:rsid w:val="00B12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9AF"/>
    <w:rPr>
      <w:rFonts w:ascii="Courier New" w:hAnsi="Courier New"/>
    </w:rPr>
  </w:style>
  <w:style w:type="paragraph" w:customStyle="1" w:styleId="NoteBullet">
    <w:name w:val="Note Bullet"/>
    <w:basedOn w:val="Note"/>
    <w:rsid w:val="00B129AF"/>
    <w:pPr>
      <w:tabs>
        <w:tab w:val="clear" w:pos="680"/>
      </w:tabs>
      <w:spacing w:before="60" w:after="60"/>
    </w:pPr>
  </w:style>
  <w:style w:type="paragraph" w:customStyle="1" w:styleId="SubHeading2">
    <w:name w:val="SubHeading2"/>
    <w:basedOn w:val="HeadingBase"/>
    <w:rsid w:val="00B129AF"/>
    <w:pPr>
      <w:spacing w:before="240" w:after="60"/>
    </w:pPr>
    <w:rPr>
      <w:sz w:val="20"/>
    </w:rPr>
  </w:style>
  <w:style w:type="paragraph" w:customStyle="1" w:styleId="SubHeading1">
    <w:name w:val="SubHeading1"/>
    <w:basedOn w:val="HeadingBase"/>
    <w:rsid w:val="00B129AF"/>
    <w:pPr>
      <w:spacing w:before="240" w:after="60"/>
    </w:pPr>
    <w:rPr>
      <w:color w:val="918585"/>
      <w:sz w:val="22"/>
    </w:rPr>
  </w:style>
  <w:style w:type="paragraph" w:customStyle="1" w:styleId="SideHeading">
    <w:name w:val="Side Heading"/>
    <w:basedOn w:val="HeadingBase"/>
    <w:rsid w:val="00B12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9AF"/>
    <w:pPr>
      <w:tabs>
        <w:tab w:val="num" w:pos="360"/>
      </w:tabs>
    </w:pPr>
  </w:style>
  <w:style w:type="paragraph" w:styleId="PlainText">
    <w:name w:val="Plain Text"/>
    <w:basedOn w:val="Normal"/>
    <w:link w:val="PlainTextChar"/>
    <w:rsid w:val="00B129AF"/>
    <w:rPr>
      <w:sz w:val="20"/>
    </w:rPr>
  </w:style>
  <w:style w:type="character" w:customStyle="1" w:styleId="PlainTextChar">
    <w:name w:val="Plain Text Char"/>
    <w:basedOn w:val="DefaultParagraphFont"/>
    <w:link w:val="PlainText"/>
    <w:rsid w:val="00B129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29AF"/>
    <w:rPr>
      <w:b/>
      <w:smallCaps/>
    </w:rPr>
  </w:style>
  <w:style w:type="paragraph" w:customStyle="1" w:styleId="TableListNumber">
    <w:name w:val="Table List Number"/>
    <w:basedOn w:val="ListNumber"/>
    <w:rsid w:val="00B129AF"/>
    <w:pPr>
      <w:numPr>
        <w:numId w:val="0"/>
      </w:numPr>
    </w:pPr>
  </w:style>
  <w:style w:type="paragraph" w:styleId="TOC4">
    <w:name w:val="toc 4"/>
    <w:basedOn w:val="TOCBase"/>
    <w:next w:val="Normal"/>
    <w:semiHidden/>
    <w:rsid w:val="00B129AF"/>
    <w:pPr>
      <w:tabs>
        <w:tab w:val="right" w:leader="dot" w:pos="9071"/>
      </w:tabs>
      <w:ind w:left="1701"/>
    </w:pPr>
  </w:style>
  <w:style w:type="paragraph" w:customStyle="1" w:styleId="ListAlpha">
    <w:name w:val="List Alpha"/>
    <w:basedOn w:val="List"/>
    <w:rsid w:val="00B129AF"/>
    <w:pPr>
      <w:numPr>
        <w:numId w:val="8"/>
      </w:numPr>
    </w:pPr>
  </w:style>
  <w:style w:type="paragraph" w:customStyle="1" w:styleId="ListAlpha2">
    <w:name w:val="List Alpha 2"/>
    <w:basedOn w:val="List2"/>
    <w:rsid w:val="00B129AF"/>
    <w:pPr>
      <w:numPr>
        <w:numId w:val="7"/>
      </w:numPr>
    </w:pPr>
  </w:style>
  <w:style w:type="paragraph" w:styleId="List3">
    <w:name w:val="List 3"/>
    <w:basedOn w:val="BodyText"/>
    <w:rsid w:val="00B129AF"/>
    <w:pPr>
      <w:tabs>
        <w:tab w:val="left" w:pos="1021"/>
      </w:tabs>
      <w:spacing w:before="60" w:after="60"/>
      <w:ind w:left="1020" w:hanging="340"/>
    </w:pPr>
  </w:style>
  <w:style w:type="paragraph" w:styleId="List4">
    <w:name w:val="List 4"/>
    <w:basedOn w:val="BodyText"/>
    <w:rsid w:val="00B129AF"/>
    <w:pPr>
      <w:tabs>
        <w:tab w:val="left" w:pos="1361"/>
      </w:tabs>
      <w:spacing w:before="60" w:after="60"/>
      <w:ind w:left="1361" w:hanging="340"/>
    </w:pPr>
  </w:style>
  <w:style w:type="paragraph" w:styleId="List5">
    <w:name w:val="List 5"/>
    <w:basedOn w:val="BodyText"/>
    <w:rsid w:val="00B129AF"/>
    <w:pPr>
      <w:tabs>
        <w:tab w:val="left" w:pos="1701"/>
      </w:tabs>
      <w:spacing w:before="60" w:after="60"/>
      <w:ind w:left="1701" w:hanging="340"/>
    </w:pPr>
  </w:style>
  <w:style w:type="paragraph" w:styleId="ListBullet3">
    <w:name w:val="List Bullet 3"/>
    <w:basedOn w:val="List3"/>
    <w:rsid w:val="00B129AF"/>
    <w:pPr>
      <w:numPr>
        <w:numId w:val="14"/>
      </w:numPr>
      <w:tabs>
        <w:tab w:val="clear" w:pos="1021"/>
      </w:tabs>
      <w:ind w:left="1037" w:hanging="357"/>
    </w:pPr>
  </w:style>
  <w:style w:type="paragraph" w:styleId="ListBullet4">
    <w:name w:val="List Bullet 4"/>
    <w:basedOn w:val="List4"/>
    <w:rsid w:val="00B129AF"/>
    <w:pPr>
      <w:numPr>
        <w:numId w:val="2"/>
      </w:numPr>
    </w:pPr>
  </w:style>
  <w:style w:type="paragraph" w:styleId="ListBullet5">
    <w:name w:val="List Bullet 5"/>
    <w:basedOn w:val="List5"/>
    <w:rsid w:val="00B129AF"/>
    <w:pPr>
      <w:numPr>
        <w:numId w:val="3"/>
      </w:numPr>
    </w:pPr>
  </w:style>
  <w:style w:type="paragraph" w:styleId="ListContinue2">
    <w:name w:val="List Continue 2"/>
    <w:basedOn w:val="List2"/>
    <w:rsid w:val="00B129AF"/>
    <w:pPr>
      <w:ind w:firstLine="0"/>
    </w:pPr>
  </w:style>
  <w:style w:type="paragraph" w:styleId="ListContinue3">
    <w:name w:val="List Continue 3"/>
    <w:basedOn w:val="List3"/>
    <w:rsid w:val="00B129AF"/>
    <w:pPr>
      <w:ind w:left="1021" w:firstLine="0"/>
    </w:pPr>
  </w:style>
  <w:style w:type="paragraph" w:styleId="ListContinue4">
    <w:name w:val="List Continue 4"/>
    <w:basedOn w:val="List4"/>
    <w:rsid w:val="00B129AF"/>
    <w:pPr>
      <w:ind w:firstLine="0"/>
    </w:pPr>
  </w:style>
  <w:style w:type="paragraph" w:styleId="ListContinue5">
    <w:name w:val="List Continue 5"/>
    <w:basedOn w:val="List5"/>
    <w:rsid w:val="00B129AF"/>
    <w:pPr>
      <w:ind w:firstLine="0"/>
    </w:pPr>
  </w:style>
  <w:style w:type="paragraph" w:styleId="ListNumber3">
    <w:name w:val="List Number 3"/>
    <w:basedOn w:val="List3"/>
    <w:rsid w:val="00B129AF"/>
    <w:pPr>
      <w:numPr>
        <w:numId w:val="4"/>
      </w:numPr>
    </w:pPr>
  </w:style>
  <w:style w:type="paragraph" w:styleId="ListNumber4">
    <w:name w:val="List Number 4"/>
    <w:basedOn w:val="List4"/>
    <w:rsid w:val="00B129AF"/>
    <w:pPr>
      <w:numPr>
        <w:numId w:val="5"/>
      </w:numPr>
    </w:pPr>
  </w:style>
  <w:style w:type="paragraph" w:styleId="ListNumber5">
    <w:name w:val="List Number 5"/>
    <w:basedOn w:val="List5"/>
    <w:rsid w:val="00B129AF"/>
    <w:pPr>
      <w:numPr>
        <w:numId w:val="6"/>
      </w:numPr>
    </w:pPr>
  </w:style>
  <w:style w:type="paragraph" w:styleId="BlockText">
    <w:name w:val="Block Text"/>
    <w:basedOn w:val="Normal"/>
    <w:rsid w:val="00B129AF"/>
    <w:pPr>
      <w:spacing w:after="120"/>
      <w:ind w:left="1440" w:right="1440"/>
    </w:pPr>
  </w:style>
  <w:style w:type="character" w:customStyle="1" w:styleId="Subscript">
    <w:name w:val="Subscript"/>
    <w:basedOn w:val="DefaultParagraphFont"/>
    <w:rsid w:val="00B129AF"/>
    <w:rPr>
      <w:sz w:val="16"/>
      <w:vertAlign w:val="subscript"/>
    </w:rPr>
  </w:style>
  <w:style w:type="character" w:customStyle="1" w:styleId="Superscript">
    <w:name w:val="Superscript"/>
    <w:basedOn w:val="DefaultParagraphFont"/>
    <w:rsid w:val="00B129AF"/>
    <w:rPr>
      <w:sz w:val="16"/>
      <w:vertAlign w:val="superscript"/>
    </w:rPr>
  </w:style>
  <w:style w:type="character" w:customStyle="1" w:styleId="Symbols">
    <w:name w:val="Symbols"/>
    <w:basedOn w:val="DefaultParagraphFont"/>
    <w:rsid w:val="00B129AF"/>
    <w:rPr>
      <w:rFonts w:ascii="Symbol" w:hAnsi="Symbol"/>
    </w:rPr>
  </w:style>
  <w:style w:type="character" w:customStyle="1" w:styleId="MenuOptions">
    <w:name w:val="Menu Options"/>
    <w:basedOn w:val="DefaultParagraphFont"/>
    <w:rsid w:val="00B129AF"/>
    <w:rPr>
      <w:rFonts w:ascii="Arial Narrow" w:hAnsi="Arial Narrow"/>
      <w:smallCaps/>
    </w:rPr>
  </w:style>
  <w:style w:type="character" w:customStyle="1" w:styleId="Buttons">
    <w:name w:val="Buttons"/>
    <w:basedOn w:val="DefaultParagraphFont"/>
    <w:rsid w:val="00B129AF"/>
    <w:rPr>
      <w:b/>
    </w:rPr>
  </w:style>
  <w:style w:type="character" w:customStyle="1" w:styleId="Underlined">
    <w:name w:val="Underlined"/>
    <w:basedOn w:val="DefaultParagraphFont"/>
    <w:rsid w:val="00B129AF"/>
    <w:rPr>
      <w:u w:val="single"/>
    </w:rPr>
  </w:style>
  <w:style w:type="paragraph" w:customStyle="1" w:styleId="TableBodyTextRight">
    <w:name w:val="Table Body Text Right"/>
    <w:basedOn w:val="TableBodyText"/>
    <w:rsid w:val="00B129AF"/>
    <w:pPr>
      <w:widowControl w:val="0"/>
      <w:autoSpaceDE w:val="0"/>
      <w:autoSpaceDN w:val="0"/>
      <w:adjustRightInd w:val="0"/>
      <w:jc w:val="right"/>
    </w:pPr>
    <w:rPr>
      <w:rFonts w:cs="Arial"/>
      <w:szCs w:val="18"/>
    </w:rPr>
  </w:style>
  <w:style w:type="paragraph" w:customStyle="1" w:styleId="CopyrightText">
    <w:name w:val="Copyright Text"/>
    <w:basedOn w:val="BodyText"/>
    <w:rsid w:val="00B129AF"/>
    <w:rPr>
      <w:sz w:val="18"/>
    </w:rPr>
  </w:style>
  <w:style w:type="paragraph" w:customStyle="1" w:styleId="BodySmallRight">
    <w:name w:val="Body Small Right"/>
    <w:basedOn w:val="BodyTextRight"/>
    <w:rsid w:val="00B129AF"/>
    <w:rPr>
      <w:sz w:val="18"/>
      <w:szCs w:val="18"/>
    </w:rPr>
  </w:style>
  <w:style w:type="paragraph" w:customStyle="1" w:styleId="MarginEdition">
    <w:name w:val="Margin Edition"/>
    <w:basedOn w:val="MarginNote"/>
    <w:rsid w:val="00B129AF"/>
    <w:pPr>
      <w:spacing w:before="0" w:after="0"/>
    </w:pPr>
    <w:rPr>
      <w:rFonts w:ascii="Times New Roman" w:hAnsi="Times New Roman"/>
      <w:color w:val="999999"/>
    </w:rPr>
  </w:style>
  <w:style w:type="paragraph" w:customStyle="1" w:styleId="Spacer">
    <w:name w:val="Spacer"/>
    <w:basedOn w:val="Normal"/>
    <w:rsid w:val="00B129AF"/>
    <w:rPr>
      <w:sz w:val="2"/>
      <w:szCs w:val="2"/>
    </w:rPr>
  </w:style>
  <w:style w:type="character" w:customStyle="1" w:styleId="Small">
    <w:name w:val="Small"/>
    <w:basedOn w:val="DefaultParagraphFont"/>
    <w:rsid w:val="00B129AF"/>
    <w:rPr>
      <w:sz w:val="16"/>
    </w:rPr>
  </w:style>
  <w:style w:type="paragraph" w:customStyle="1" w:styleId="WideTable">
    <w:name w:val="Wide Table"/>
    <w:basedOn w:val="Normal"/>
    <w:rsid w:val="00B129AF"/>
    <w:pPr>
      <w:ind w:left="-1418"/>
    </w:pPr>
    <w:rPr>
      <w:sz w:val="2"/>
      <w:szCs w:val="2"/>
    </w:rPr>
  </w:style>
  <w:style w:type="character" w:styleId="PageNumber">
    <w:name w:val="page number"/>
    <w:basedOn w:val="DefaultParagraphFont"/>
    <w:rsid w:val="00B129AF"/>
  </w:style>
  <w:style w:type="paragraph" w:styleId="Quote">
    <w:name w:val="Quote"/>
    <w:basedOn w:val="Heading1"/>
    <w:link w:val="QuoteChar"/>
    <w:qFormat/>
    <w:rsid w:val="00B129AF"/>
    <w:rPr>
      <w:b w:val="0"/>
      <w:sz w:val="72"/>
      <w:szCs w:val="72"/>
      <w:lang w:val="en-NZ"/>
    </w:rPr>
  </w:style>
  <w:style w:type="character" w:customStyle="1" w:styleId="QuoteChar">
    <w:name w:val="Quote Char"/>
    <w:basedOn w:val="DefaultParagraphFont"/>
    <w:link w:val="Quote"/>
    <w:rsid w:val="00B12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9AF"/>
    <w:pPr>
      <w:pageBreakBefore/>
    </w:pPr>
  </w:style>
  <w:style w:type="paragraph" w:customStyle="1" w:styleId="Border">
    <w:name w:val="Border"/>
    <w:basedOn w:val="Normal"/>
    <w:qFormat/>
    <w:rsid w:val="00B12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9AF"/>
    <w:rPr>
      <w:b/>
      <w:bCs/>
      <w:i/>
      <w:iCs/>
      <w:color w:val="auto"/>
    </w:rPr>
  </w:style>
  <w:style w:type="paragraph" w:styleId="IntenseQuote">
    <w:name w:val="Intense Quote"/>
    <w:basedOn w:val="Normal"/>
    <w:next w:val="Normal"/>
    <w:link w:val="IntenseQuoteChar"/>
    <w:uiPriority w:val="30"/>
    <w:qFormat/>
    <w:rsid w:val="00B12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9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29AF"/>
    <w:rPr>
      <w:smallCaps/>
      <w:color w:val="auto"/>
      <w:u w:val="single"/>
    </w:rPr>
  </w:style>
  <w:style w:type="character" w:styleId="IntenseReference">
    <w:name w:val="Intense Reference"/>
    <w:basedOn w:val="DefaultParagraphFont"/>
    <w:uiPriority w:val="32"/>
    <w:qFormat/>
    <w:rsid w:val="00B129AF"/>
    <w:rPr>
      <w:b/>
      <w:bCs/>
      <w:smallCaps/>
      <w:color w:val="auto"/>
      <w:spacing w:val="5"/>
      <w:u w:val="single"/>
    </w:rPr>
  </w:style>
  <w:style w:type="paragraph" w:customStyle="1" w:styleId="2ColumnHeading">
    <w:name w:val="2Column Heading"/>
    <w:basedOn w:val="BodyText"/>
    <w:qFormat/>
    <w:rsid w:val="00B129AF"/>
    <w:pPr>
      <w:spacing w:after="60"/>
      <w:ind w:left="-2268"/>
    </w:pPr>
    <w:rPr>
      <w:b/>
    </w:rPr>
  </w:style>
  <w:style w:type="paragraph" w:customStyle="1" w:styleId="Heading1TOC">
    <w:name w:val="Heading1 TOC"/>
    <w:basedOn w:val="Normal"/>
    <w:qFormat/>
    <w:rsid w:val="00B129AF"/>
    <w:pPr>
      <w:spacing w:before="240" w:after="120"/>
    </w:pPr>
    <w:rPr>
      <w:rFonts w:ascii="Times New Roman" w:hAnsi="Times New Roman"/>
      <w:b/>
      <w:sz w:val="32"/>
    </w:rPr>
  </w:style>
  <w:style w:type="paragraph" w:customStyle="1" w:styleId="Heading2TOC">
    <w:name w:val="Heading2 TOC"/>
    <w:basedOn w:val="Normal"/>
    <w:qFormat/>
    <w:rsid w:val="00B129AF"/>
    <w:pPr>
      <w:spacing w:before="240" w:after="60"/>
    </w:pPr>
    <w:rPr>
      <w:rFonts w:ascii="Times New Roman" w:hAnsi="Times New Roman"/>
      <w:b/>
      <w:sz w:val="28"/>
    </w:rPr>
  </w:style>
  <w:style w:type="character" w:customStyle="1" w:styleId="Underline">
    <w:name w:val="Underline"/>
    <w:basedOn w:val="DefaultParagraphFont"/>
    <w:qFormat/>
    <w:rsid w:val="00B129AF"/>
    <w:rPr>
      <w:u w:val="single"/>
    </w:rPr>
  </w:style>
  <w:style w:type="character" w:customStyle="1" w:styleId="BoldandItalics">
    <w:name w:val="Bold and Italics"/>
    <w:qFormat/>
    <w:rsid w:val="00B129AF"/>
    <w:rPr>
      <w:b/>
      <w:i/>
      <w:u w:val="none"/>
    </w:rPr>
  </w:style>
  <w:style w:type="paragraph" w:styleId="BalloonText">
    <w:name w:val="Balloon Text"/>
    <w:basedOn w:val="Normal"/>
    <w:link w:val="BalloonTextChar"/>
    <w:rsid w:val="00B129AF"/>
    <w:rPr>
      <w:rFonts w:ascii="Tahoma" w:hAnsi="Tahoma" w:cs="Tahoma"/>
      <w:sz w:val="16"/>
      <w:szCs w:val="16"/>
    </w:rPr>
  </w:style>
  <w:style w:type="character" w:customStyle="1" w:styleId="BalloonTextChar">
    <w:name w:val="Balloon Text Char"/>
    <w:basedOn w:val="DefaultParagraphFont"/>
    <w:link w:val="BalloonText"/>
    <w:rsid w:val="00B129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29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9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782</Words>
  <Characters>4636</Characters>
  <Application>Microsoft Office Word</Application>
  <DocSecurity>0</DocSecurity>
  <Lines>188</Lines>
  <Paragraphs>87</Paragraphs>
  <ScaleCrop>false</ScaleCrop>
  <Company>Author-it Software Corporation Ltd.</Company>
  <LinksUpToDate>false</LinksUpToDate>
  <CharactersWithSpaces>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AHCPGD205A Prepare a grave site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2012-05-26T13:12:00Z</dcterms:created>
  <dcterms:modified xsi:type="dcterms:W3CDTF">2012-05-26T13:12:00Z</dcterms:modified>
</cp:coreProperties>
</file>